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eastAsia="方正小标宋简体" w:cs="Times New Roman"/>
          <w:sz w:val="44"/>
          <w:szCs w:val="44"/>
        </w:rPr>
      </w:pPr>
      <w:r>
        <w:rPr>
          <w:rFonts w:hint="eastAsia" w:ascii="方正小标宋简体" w:hAnsi="宋体" w:eastAsia="方正小标宋简体" w:cs="方正小标宋简体"/>
          <w:sz w:val="44"/>
          <w:szCs w:val="44"/>
        </w:rPr>
        <w:t>霸州市国土资源局</w:t>
      </w:r>
      <w:r>
        <w:rPr>
          <w:rFonts w:ascii="方正小标宋简体" w:hAnsi="宋体" w:eastAsia="方正小标宋简体" w:cs="方正小标宋简体"/>
          <w:sz w:val="44"/>
          <w:szCs w:val="44"/>
        </w:rPr>
        <w:t>2018</w:t>
      </w:r>
      <w:r>
        <w:rPr>
          <w:rFonts w:hint="eastAsia" w:ascii="方正小标宋简体" w:hAnsi="宋体" w:eastAsia="方正小标宋简体" w:cs="方正小标宋简体"/>
          <w:sz w:val="44"/>
          <w:szCs w:val="44"/>
        </w:rPr>
        <w:t>年部门预算信息公开</w:t>
      </w:r>
    </w:p>
    <w:p>
      <w:pPr>
        <w:ind w:firstLine="883" w:firstLineChars="200"/>
        <w:jc w:val="center"/>
        <w:rPr>
          <w:rFonts w:ascii="宋体" w:cs="Times New Roman"/>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按照《预算法》、《地方预决算公开操作规程》和《河北省省级预算公开办法》规定，现将霸州市国土资源局</w:t>
      </w:r>
      <w:r>
        <w:rPr>
          <w:rFonts w:ascii="仿宋" w:hAnsi="仿宋" w:eastAsia="仿宋" w:cs="仿宋"/>
          <w:sz w:val="32"/>
          <w:szCs w:val="32"/>
        </w:rPr>
        <w:t>2018</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一）贯彻实施国家有关国土资源管理法律、行政法规，承担保护与合理利用全市土地资源、矿产资源等自然资源的责任。组织拟订国土资源发展规划，开展国土资源经济形式分析，研究提出国土资源供需总量平衡的政策建议，参与宏观经济运行、区域协调、城乡统筹的研究，并拟订涉及国土资源的调控政策和措施。编制并组织实施国土规划，组织实施国土资源领域资源节约集约利用和循环经济的政策措施。</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二）承担规范全市国土资源管理秩序的责任。贯彻执行国土资源法律法规，制定有关适宜本地区可持续发展的地方性政策并监督实施。指导乡（镇）国土资源行政执法工作，调查处理区域内国土资源重大违法案件。</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三）承担优化配置全市国土资源的责任。编制和组织实施土地利用总体规划、土地利用年度计划、土地整理复垦开发规划和其他专项规划、计划。参与审核报省、市政府审批的城市总体规划。指导和审核乡（镇）土地利用总体规划，组织编制矿产资源、地质勘查和地质环境等规划以及地质灾害防治、矿产环境保护等有关专项规划并监督检查执行情况。参与审核报省、市政府审批的涉及土地、矿产的相关规划。</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四）负责规范全市国土资源权属管理。依法保护土地资源、矿产资源等自然资源所有者和使用者的合法权益，组织调处重大权属纠纷，依法进行土地确权，承担各类土地登记资料的收集、整理、共享和汇交管理，提供社会查询服务。</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五）承担全市耕地保护的责任。贯彻和落实国家和省的耕地保护政策，贯彻落实基本农田保护制度及占用耕地补偿制度。监督并指导未利用土地开发、土地整理、土地复垦和耕地开发工作。组织实施土地用途管制、农用地转用和土地征收，承担报省、市政府审批的各类用地的审核、报批工作。</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（六）承担提供全市土地利用各种数据的责任。组织实施国家和省的地籍管理办法，组织土地资源调查、地籍调查、土地统计和动态监测，依法开展地籍调查、登记和土地分等定级工作。</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七）承担节约集约利用全市土地资源的责任。管理和监督城乡建设用地供应、政府土地储备、土地开发和节约集约利用。拟订并按规定组织实施土地使用权出让、租赁、作价出资、转让等地方性管理办法。建立基准地价、标定地价等政府公示地价制度，规范农村集体建设用地使用权的流转。执行国家禁止和限制供地、划拨用地目录等，承担报省、市政府审批的改制企业的国有土地资产方案的审核工作。</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八）承担规范全市国土资源市场秩序的责任。监测土地市场和建设用地利用情况，监管地价，规范和监督矿业权市场，对矿业权人勘查、开采活动进行监督管理，规范和监管国土资源相关社会中介组织，依法查处违法行为。</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（九）负责全市矿产资源开发的管理。依法管理矿产权的审批登记发证和出让、转让审批登记，组织编制实施矿产权设置方案。</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（十）承担全市地质灾害预防、治理的责任。指导应急处置，组织、协调、指导和监督地质灾害防治工作，拟订并组织实施地质灾害等国土资源突发事件应急预案。</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十一）依法征收资源收益，规范、监督资金使用，拟订市土地、矿产资源参与经济调控的政策措施。依法组织土地、矿产资源专项收入的征管，配合有关部门拟订收益分配制度，配合有关部门指导、监督土地整理复垦开发资金的收取和使用。参与管理土地、矿产等资源性资产。负责有关资金、基金的预算和财务、资产管理与监督。</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（十二）负责全市测绘行业、测绘市场、测绘技术管理。</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（十三）组织制定全市国土资源科技发展和人才培养规划、计划，推进国土资源信息化和信息资料的公共服务。开展对外合作与交流，管理国土资源分局领导班子和干部。</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cs="Times New Roman"/>
          <w:sz w:val="32"/>
          <w:szCs w:val="32"/>
          <w:lang w:eastAsia="zh-CN"/>
        </w:rPr>
      </w:pPr>
      <w:r>
        <w:rPr>
          <w:rFonts w:hint="eastAsia" w:ascii="仿宋" w:hAnsi="仿宋" w:eastAsia="仿宋" w:cs="仿宋"/>
          <w:sz w:val="32"/>
          <w:szCs w:val="32"/>
          <w:lang w:eastAsia="zh-CN"/>
        </w:rPr>
        <w:t>（十四）承办市政府交办的其他事项。</w:t>
      </w:r>
    </w:p>
    <w:p>
      <w:pPr>
        <w:ind w:firstLine="630" w:firstLineChars="196"/>
        <w:outlineLvl w:val="0"/>
        <w:rPr>
          <w:rFonts w:ascii="Times New Roman" w:hAnsi="Times New Roman" w:eastAsia="方正小标宋_GBK" w:cs="Times New Roman"/>
          <w:sz w:val="32"/>
          <w:szCs w:val="32"/>
        </w:rPr>
      </w:pPr>
      <w:r>
        <w:rPr>
          <w:rFonts w:hint="eastAsia" w:ascii="楷体" w:hAnsi="楷体" w:eastAsia="楷体" w:cs="楷体"/>
          <w:b/>
          <w:bCs/>
          <w:sz w:val="32"/>
          <w:szCs w:val="32"/>
        </w:rPr>
        <w:t>机构设置：</w:t>
      </w:r>
      <w:r>
        <w:rPr>
          <w:rFonts w:ascii="楷体_GB2312" w:hAnsi="Times New Roman" w:eastAsia="楷体_GB2312" w:cs="楷体_GB2312"/>
          <w:b/>
          <w:bCs/>
          <w:sz w:val="32"/>
          <w:szCs w:val="32"/>
        </w:rPr>
        <w:t xml:space="preserve">                     </w:t>
      </w:r>
      <w:r>
        <w:rPr>
          <w:rFonts w:hint="eastAsia" w:ascii="Times New Roman" w:hAnsi="Times New Roman" w:eastAsia="方正小标宋_GBK" w:cs="方正小标宋_GBK"/>
          <w:sz w:val="32"/>
          <w:szCs w:val="32"/>
        </w:rPr>
        <w:t>部门机构设置情况</w:t>
      </w:r>
    </w:p>
    <w:p>
      <w:pPr>
        <w:autoSpaceDE w:val="0"/>
        <w:autoSpaceDN w:val="0"/>
        <w:adjustRightInd w:val="0"/>
        <w:ind w:firstLine="643" w:firstLineChars="200"/>
        <w:jc w:val="left"/>
        <w:rPr>
          <w:rFonts w:ascii="楷体_GB2312" w:hAnsi="Times New Roman" w:eastAsia="楷体_GB2312" w:cs="Times New Roman"/>
          <w:b/>
          <w:bCs/>
          <w:sz w:val="32"/>
          <w:szCs w:val="32"/>
        </w:rPr>
      </w:pPr>
    </w:p>
    <w:tbl>
      <w:tblPr>
        <w:tblStyle w:val="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pacing w:line="3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单位名称</w:t>
            </w:r>
          </w:p>
        </w:tc>
        <w:tc>
          <w:tcPr>
            <w:tcW w:w="2265" w:type="dxa"/>
            <w:vAlign w:val="center"/>
          </w:tcPr>
          <w:p>
            <w:pPr>
              <w:spacing w:line="3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单位性质</w:t>
            </w:r>
          </w:p>
        </w:tc>
        <w:tc>
          <w:tcPr>
            <w:tcW w:w="2265" w:type="dxa"/>
            <w:vAlign w:val="center"/>
          </w:tcPr>
          <w:p>
            <w:pPr>
              <w:spacing w:line="3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单位规格</w:t>
            </w:r>
          </w:p>
        </w:tc>
        <w:tc>
          <w:tcPr>
            <w:tcW w:w="2266" w:type="dxa"/>
            <w:vAlign w:val="center"/>
          </w:tcPr>
          <w:p>
            <w:pPr>
              <w:spacing w:line="300" w:lineRule="exact"/>
              <w:jc w:val="center"/>
              <w:rPr>
                <w:rFonts w:ascii="方正书宋_GBK" w:hAnsi="Times New Roman" w:eastAsia="方正书宋_GBK" w:cs="Times New Roman"/>
                <w:b/>
                <w:bCs/>
              </w:rPr>
            </w:pPr>
            <w:r>
              <w:rPr>
                <w:rFonts w:hint="eastAsia" w:ascii="方正书宋_GBK" w:hAnsi="Times New Roman" w:eastAsia="方正书宋_GBK" w:cs="方正书宋_GBK"/>
                <w:b/>
                <w:bCs/>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pacing w:line="300" w:lineRule="exact"/>
              <w:jc w:val="center"/>
              <w:rPr>
                <w:rFonts w:ascii="方正书宋_GBK" w:hAnsi="Times New Roman" w:eastAsia="方正书宋_GBK" w:cs="Times New Roman"/>
              </w:rPr>
            </w:pPr>
            <w:r>
              <w:rPr>
                <w:rFonts w:hint="eastAsia" w:ascii="方正书宋_GBK" w:hAnsi="Times New Roman" w:eastAsia="方正书宋_GBK" w:cs="方正书宋_GBK"/>
              </w:rPr>
              <w:t>霸州市国土资源局</w:t>
            </w:r>
          </w:p>
        </w:tc>
        <w:tc>
          <w:tcPr>
            <w:tcW w:w="2265" w:type="dxa"/>
            <w:vAlign w:val="center"/>
          </w:tcPr>
          <w:p>
            <w:pPr>
              <w:spacing w:line="300" w:lineRule="exact"/>
              <w:jc w:val="center"/>
              <w:rPr>
                <w:rFonts w:ascii="方正书宋_GBK" w:hAnsi="Times New Roman" w:eastAsia="方正书宋_GBK" w:cs="Times New Roman"/>
              </w:rPr>
            </w:pPr>
            <w:r>
              <w:rPr>
                <w:rFonts w:hint="eastAsia" w:ascii="方正书宋_GBK" w:hAnsi="Times New Roman" w:eastAsia="方正书宋_GBK" w:cs="方正书宋_GBK"/>
              </w:rPr>
              <w:t>行政</w:t>
            </w:r>
          </w:p>
        </w:tc>
        <w:tc>
          <w:tcPr>
            <w:tcW w:w="2265" w:type="dxa"/>
            <w:vAlign w:val="center"/>
          </w:tcPr>
          <w:p>
            <w:pPr>
              <w:spacing w:line="300" w:lineRule="exact"/>
              <w:jc w:val="center"/>
              <w:rPr>
                <w:rFonts w:ascii="方正书宋_GBK" w:hAnsi="Times New Roman" w:eastAsia="方正书宋_GBK" w:cs="Times New Roman"/>
              </w:rPr>
            </w:pPr>
            <w:r>
              <w:rPr>
                <w:rFonts w:hint="eastAsia" w:ascii="方正书宋_GBK" w:hAnsi="Times New Roman" w:eastAsia="方正书宋_GBK" w:cs="方正书宋_GBK"/>
              </w:rPr>
              <w:t>正科级</w:t>
            </w:r>
          </w:p>
        </w:tc>
        <w:tc>
          <w:tcPr>
            <w:tcW w:w="2266" w:type="dxa"/>
            <w:vAlign w:val="center"/>
          </w:tcPr>
          <w:p>
            <w:pPr>
              <w:spacing w:line="300" w:lineRule="exact"/>
              <w:jc w:val="center"/>
              <w:rPr>
                <w:rFonts w:ascii="方正书宋_GBK" w:hAnsi="Times New Roman" w:eastAsia="方正书宋_GBK" w:cs="Times New Roman"/>
              </w:rPr>
            </w:pPr>
            <w:r>
              <w:rPr>
                <w:rFonts w:hint="eastAsia" w:ascii="方正书宋_GBK" w:hAnsi="Times New Roman" w:eastAsia="方正书宋_GBK" w:cs="方正书宋_GBK"/>
              </w:rPr>
              <w:t>财政拨款</w:t>
            </w:r>
          </w:p>
        </w:tc>
      </w:tr>
    </w:tbl>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按照预算管理有关规定，目前我市部门预算的编制实行综合预算制度，即全部收入和支出都反映在预算中。</w:t>
      </w:r>
    </w:p>
    <w:p>
      <w:pPr>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firstLineChars="20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2018</w:t>
      </w:r>
      <w:r>
        <w:rPr>
          <w:rFonts w:hint="eastAsia" w:ascii="仿宋" w:hAnsi="仿宋" w:eastAsia="仿宋" w:cs="仿宋"/>
          <w:sz w:val="32"/>
          <w:szCs w:val="32"/>
        </w:rPr>
        <w:t>年预算收入</w:t>
      </w:r>
      <w:r>
        <w:rPr>
          <w:rFonts w:ascii="仿宋" w:hAnsi="仿宋" w:eastAsia="仿宋" w:cs="仿宋"/>
          <w:sz w:val="32"/>
          <w:szCs w:val="32"/>
        </w:rPr>
        <w:t>207598.45</w:t>
      </w:r>
      <w:r>
        <w:rPr>
          <w:rFonts w:hint="eastAsia" w:ascii="仿宋" w:hAnsi="仿宋" w:eastAsia="仿宋" w:cs="仿宋"/>
          <w:sz w:val="32"/>
          <w:szCs w:val="32"/>
        </w:rPr>
        <w:t>万元，其中：一般公共预算收入</w:t>
      </w:r>
      <w:r>
        <w:rPr>
          <w:rFonts w:ascii="仿宋" w:hAnsi="仿宋" w:eastAsia="仿宋" w:cs="仿宋"/>
          <w:sz w:val="32"/>
          <w:szCs w:val="32"/>
        </w:rPr>
        <w:t>7598.45</w:t>
      </w:r>
      <w:r>
        <w:rPr>
          <w:rFonts w:hint="eastAsia" w:ascii="仿宋" w:hAnsi="仿宋" w:eastAsia="仿宋" w:cs="仿宋"/>
          <w:sz w:val="32"/>
          <w:szCs w:val="32"/>
        </w:rPr>
        <w:t>万元，政府性基金预算收入</w:t>
      </w:r>
      <w:r>
        <w:rPr>
          <w:rFonts w:ascii="仿宋" w:hAnsi="仿宋" w:eastAsia="仿宋" w:cs="仿宋"/>
          <w:sz w:val="32"/>
          <w:szCs w:val="32"/>
        </w:rPr>
        <w:t>200000</w:t>
      </w:r>
      <w:r>
        <w:rPr>
          <w:rFonts w:hint="eastAsia" w:ascii="仿宋" w:hAnsi="仿宋" w:eastAsia="仿宋" w:cs="仿宋"/>
          <w:sz w:val="32"/>
          <w:szCs w:val="32"/>
        </w:rPr>
        <w:t>万元，国有资本经营预算收入</w:t>
      </w:r>
      <w:r>
        <w:rPr>
          <w:rFonts w:ascii="仿宋" w:hAnsi="仿宋" w:eastAsia="仿宋" w:cs="仿宋"/>
          <w:sz w:val="32"/>
          <w:szCs w:val="32"/>
        </w:rPr>
        <w:t>0</w:t>
      </w:r>
      <w:r>
        <w:rPr>
          <w:rFonts w:hint="eastAsia" w:ascii="仿宋" w:hAnsi="仿宋" w:eastAsia="仿宋" w:cs="仿宋"/>
          <w:sz w:val="32"/>
          <w:szCs w:val="32"/>
        </w:rPr>
        <w:t>万元，上级补助收入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万元，经营收入</w:t>
      </w:r>
      <w:r>
        <w:rPr>
          <w:rFonts w:ascii="仿宋" w:hAnsi="仿宋" w:eastAsia="仿宋" w:cs="仿宋"/>
          <w:sz w:val="32"/>
          <w:szCs w:val="32"/>
        </w:rPr>
        <w:t>0</w:t>
      </w:r>
      <w:r>
        <w:rPr>
          <w:rFonts w:hint="eastAsia" w:ascii="仿宋" w:hAnsi="仿宋" w:eastAsia="仿宋" w:cs="仿宋"/>
          <w:sz w:val="32"/>
          <w:szCs w:val="32"/>
        </w:rPr>
        <w:t>万元，附属单位上缴收入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firstLineChars="20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收支预算总表支出栏、基本支出表、项目支出表按经济分类和支出功能分类科目编制，反映霸州市国土资源局</w:t>
      </w:r>
      <w:r>
        <w:rPr>
          <w:rFonts w:ascii="仿宋" w:hAnsi="仿宋" w:eastAsia="仿宋" w:cs="仿宋"/>
          <w:sz w:val="32"/>
          <w:szCs w:val="32"/>
        </w:rPr>
        <w:t>2018</w:t>
      </w:r>
      <w:r>
        <w:rPr>
          <w:rFonts w:hint="eastAsia" w:ascii="仿宋" w:hAnsi="仿宋" w:eastAsia="仿宋" w:cs="仿宋"/>
          <w:sz w:val="32"/>
          <w:szCs w:val="32"/>
        </w:rPr>
        <w:t>年度部门预算中支出预算的总体情况。</w:t>
      </w:r>
      <w:r>
        <w:rPr>
          <w:rFonts w:ascii="仿宋" w:hAnsi="仿宋" w:eastAsia="仿宋" w:cs="仿宋"/>
          <w:sz w:val="32"/>
          <w:szCs w:val="32"/>
        </w:rPr>
        <w:t>2018</w:t>
      </w:r>
      <w:r>
        <w:rPr>
          <w:rFonts w:hint="eastAsia" w:ascii="仿宋" w:hAnsi="仿宋" w:eastAsia="仿宋" w:cs="仿宋"/>
          <w:sz w:val="32"/>
          <w:szCs w:val="32"/>
        </w:rPr>
        <w:t>年本部门支出预算</w:t>
      </w:r>
      <w:r>
        <w:rPr>
          <w:rFonts w:ascii="仿宋" w:hAnsi="仿宋" w:eastAsia="仿宋" w:cs="仿宋"/>
          <w:sz w:val="32"/>
          <w:szCs w:val="32"/>
        </w:rPr>
        <w:t>207598.45</w:t>
      </w:r>
      <w:r>
        <w:rPr>
          <w:rFonts w:hint="eastAsia" w:ascii="仿宋" w:hAnsi="仿宋" w:eastAsia="仿宋" w:cs="仿宋"/>
          <w:sz w:val="32"/>
          <w:szCs w:val="32"/>
        </w:rPr>
        <w:t>万元，其中：基本支出</w:t>
      </w:r>
      <w:r>
        <w:rPr>
          <w:rFonts w:ascii="仿宋" w:hAnsi="仿宋" w:eastAsia="仿宋" w:cs="仿宋"/>
          <w:sz w:val="32"/>
          <w:szCs w:val="32"/>
        </w:rPr>
        <w:t>4513.65</w:t>
      </w:r>
      <w:r>
        <w:rPr>
          <w:rFonts w:hint="eastAsia" w:ascii="仿宋" w:hAnsi="仿宋" w:eastAsia="仿宋" w:cs="仿宋"/>
          <w:sz w:val="32"/>
          <w:szCs w:val="32"/>
        </w:rPr>
        <w:t>万元，包括：人员经费</w:t>
      </w:r>
      <w:r>
        <w:rPr>
          <w:rFonts w:ascii="仿宋" w:hAnsi="仿宋" w:eastAsia="仿宋" w:cs="仿宋"/>
          <w:sz w:val="32"/>
          <w:szCs w:val="32"/>
        </w:rPr>
        <w:t>4067.69</w:t>
      </w:r>
      <w:r>
        <w:rPr>
          <w:rFonts w:hint="eastAsia" w:ascii="仿宋" w:hAnsi="仿宋" w:eastAsia="仿宋" w:cs="仿宋"/>
          <w:sz w:val="32"/>
          <w:szCs w:val="32"/>
        </w:rPr>
        <w:t>万元和日常公用经费</w:t>
      </w:r>
      <w:r>
        <w:rPr>
          <w:rFonts w:ascii="仿宋" w:hAnsi="仿宋" w:eastAsia="仿宋" w:cs="仿宋"/>
          <w:sz w:val="32"/>
          <w:szCs w:val="32"/>
        </w:rPr>
        <w:t>445.96</w:t>
      </w:r>
      <w:r>
        <w:rPr>
          <w:rFonts w:hint="eastAsia" w:ascii="仿宋" w:hAnsi="仿宋" w:eastAsia="仿宋" w:cs="仿宋"/>
          <w:sz w:val="32"/>
          <w:szCs w:val="32"/>
        </w:rPr>
        <w:t>万元；项目支出</w:t>
      </w:r>
      <w:r>
        <w:rPr>
          <w:rFonts w:ascii="仿宋" w:hAnsi="仿宋" w:eastAsia="仿宋" w:cs="仿宋"/>
          <w:sz w:val="32"/>
          <w:szCs w:val="32"/>
        </w:rPr>
        <w:t>203084.8</w:t>
      </w:r>
      <w:r>
        <w:rPr>
          <w:rFonts w:hint="eastAsia" w:ascii="仿宋" w:hAnsi="仿宋" w:eastAsia="仿宋" w:cs="仿宋"/>
          <w:sz w:val="32"/>
          <w:szCs w:val="32"/>
        </w:rPr>
        <w:t>万元，全部为本级支出，主要为城乡社区支出、国有土地使用权出让收入及对应专项债务收入安排的支出、征地和拆迁补偿支出、土地开发支出、土地出让业务支出、国有土地收益基金及对应专项债务收入安排的支出等；上缴上级支出</w:t>
      </w:r>
      <w:r>
        <w:rPr>
          <w:rFonts w:ascii="仿宋" w:hAnsi="仿宋" w:eastAsia="仿宋" w:cs="仿宋"/>
          <w:sz w:val="32"/>
          <w:szCs w:val="32"/>
        </w:rPr>
        <w:t>0</w:t>
      </w:r>
      <w:r>
        <w:rPr>
          <w:rFonts w:hint="eastAsia" w:ascii="仿宋" w:hAnsi="仿宋" w:eastAsia="仿宋" w:cs="仿宋"/>
          <w:sz w:val="32"/>
          <w:szCs w:val="32"/>
        </w:rPr>
        <w:t>万元，经营支出</w:t>
      </w:r>
      <w:r>
        <w:rPr>
          <w:rFonts w:ascii="仿宋" w:hAnsi="仿宋" w:eastAsia="仿宋" w:cs="仿宋"/>
          <w:sz w:val="32"/>
          <w:szCs w:val="32"/>
        </w:rPr>
        <w:t>0</w:t>
      </w:r>
      <w:r>
        <w:rPr>
          <w:rFonts w:hint="eastAsia" w:ascii="仿宋" w:hAnsi="仿宋" w:eastAsia="仿宋" w:cs="仿宋"/>
          <w:sz w:val="32"/>
          <w:szCs w:val="32"/>
        </w:rPr>
        <w:t>万元，对附属单位补助支出</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firstLineChars="200"/>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年预算收支安排</w:t>
      </w:r>
      <w:r>
        <w:rPr>
          <w:rFonts w:ascii="仿宋" w:hAnsi="仿宋" w:eastAsia="仿宋" w:cs="仿宋"/>
          <w:sz w:val="32"/>
          <w:szCs w:val="32"/>
        </w:rPr>
        <w:t>207598.45</w:t>
      </w:r>
      <w:r>
        <w:rPr>
          <w:rFonts w:hint="eastAsia" w:ascii="仿宋" w:hAnsi="仿宋" w:eastAsia="仿宋" w:cs="仿宋"/>
          <w:sz w:val="32"/>
          <w:szCs w:val="32"/>
        </w:rPr>
        <w:t>万元，较</w:t>
      </w:r>
      <w:r>
        <w:rPr>
          <w:rFonts w:ascii="仿宋" w:hAnsi="仿宋" w:eastAsia="仿宋" w:cs="仿宋"/>
          <w:sz w:val="32"/>
          <w:szCs w:val="32"/>
        </w:rPr>
        <w:t>2017</w:t>
      </w:r>
      <w:r>
        <w:rPr>
          <w:rFonts w:hint="eastAsia" w:ascii="仿宋" w:hAnsi="仿宋" w:eastAsia="仿宋" w:cs="仿宋"/>
          <w:sz w:val="32"/>
          <w:szCs w:val="32"/>
        </w:rPr>
        <w:t>年预算减少</w:t>
      </w:r>
      <w:r>
        <w:rPr>
          <w:rFonts w:ascii="仿宋" w:hAnsi="仿宋" w:eastAsia="仿宋" w:cs="仿宋"/>
          <w:sz w:val="32"/>
          <w:szCs w:val="32"/>
        </w:rPr>
        <w:t>14001.21</w:t>
      </w:r>
      <w:r>
        <w:rPr>
          <w:rFonts w:hint="eastAsia" w:ascii="仿宋" w:hAnsi="仿宋" w:eastAsia="仿宋" w:cs="仿宋"/>
          <w:sz w:val="32"/>
          <w:szCs w:val="32"/>
        </w:rPr>
        <w:t>万元，其中：基本支出增加</w:t>
      </w:r>
      <w:r>
        <w:rPr>
          <w:rFonts w:ascii="仿宋" w:hAnsi="仿宋" w:eastAsia="仿宋" w:cs="仿宋"/>
          <w:sz w:val="32"/>
          <w:szCs w:val="32"/>
        </w:rPr>
        <w:t>324.99</w:t>
      </w:r>
      <w:r>
        <w:rPr>
          <w:rFonts w:hint="eastAsia" w:ascii="仿宋" w:hAnsi="仿宋" w:eastAsia="仿宋" w:cs="仿宋"/>
          <w:sz w:val="32"/>
          <w:szCs w:val="32"/>
        </w:rPr>
        <w:t>万元，主要为增加人员经费支出；项目支出减少</w:t>
      </w:r>
      <w:r>
        <w:rPr>
          <w:rFonts w:ascii="仿宋" w:hAnsi="仿宋" w:eastAsia="仿宋" w:cs="仿宋"/>
          <w:sz w:val="32"/>
          <w:szCs w:val="32"/>
        </w:rPr>
        <w:t>14326.2</w:t>
      </w:r>
      <w:r>
        <w:rPr>
          <w:rFonts w:hint="eastAsia" w:ascii="仿宋" w:hAnsi="仿宋" w:eastAsia="仿宋" w:cs="仿宋"/>
          <w:sz w:val="32"/>
          <w:szCs w:val="32"/>
        </w:rPr>
        <w:t>万元，主要为土地开发支出减少。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445.96</w:t>
      </w:r>
      <w:r>
        <w:rPr>
          <w:rFonts w:hint="eastAsia" w:ascii="仿宋" w:hAnsi="仿宋" w:eastAsia="仿宋" w:cs="仿宋"/>
          <w:sz w:val="32"/>
          <w:szCs w:val="32"/>
        </w:rPr>
        <w:t>万元，主要用于霸州市国土资源局办公楼内外的日常维修、办公用房水电费、邮电费、办公用房取暖费、办公用房物业管理费、车辆运行费等日常运行支出。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ind w:firstLine="640" w:firstLineChars="200"/>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年，霸州市国土资源局“三公”经费预算安排</w:t>
      </w:r>
      <w:r>
        <w:rPr>
          <w:rFonts w:ascii="仿宋" w:hAnsi="仿宋" w:eastAsia="仿宋" w:cs="仿宋"/>
          <w:sz w:val="32"/>
          <w:szCs w:val="32"/>
        </w:rPr>
        <w:t>65.91</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w:t>
      </w:r>
      <w:r>
        <w:rPr>
          <w:rFonts w:ascii="仿宋" w:hAnsi="仿宋" w:eastAsia="仿宋" w:cs="仿宋"/>
          <w:sz w:val="32"/>
          <w:szCs w:val="32"/>
        </w:rPr>
        <w:t>62.5</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万元，公务用车运行维护费</w:t>
      </w:r>
      <w:r>
        <w:rPr>
          <w:rFonts w:ascii="仿宋" w:hAnsi="仿宋" w:eastAsia="仿宋" w:cs="仿宋"/>
          <w:sz w:val="32"/>
          <w:szCs w:val="32"/>
        </w:rPr>
        <w:t>62.5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3.41</w:t>
      </w:r>
      <w:r>
        <w:rPr>
          <w:rFonts w:hint="eastAsia" w:ascii="仿宋" w:hAnsi="仿宋" w:eastAsia="仿宋" w:cs="仿宋"/>
          <w:sz w:val="32"/>
          <w:szCs w:val="32"/>
        </w:rPr>
        <w:t>万元，较</w:t>
      </w:r>
      <w:r>
        <w:rPr>
          <w:rFonts w:ascii="仿宋" w:hAnsi="仿宋" w:eastAsia="仿宋" w:cs="仿宋"/>
          <w:sz w:val="32"/>
          <w:szCs w:val="32"/>
        </w:rPr>
        <w:t>2017</w:t>
      </w:r>
      <w:r>
        <w:rPr>
          <w:rFonts w:hint="eastAsia" w:ascii="仿宋" w:hAnsi="仿宋" w:eastAsia="仿宋" w:cs="仿宋"/>
          <w:sz w:val="32"/>
          <w:szCs w:val="32"/>
        </w:rPr>
        <w:t>年“三公”经费减少</w:t>
      </w:r>
      <w:r>
        <w:rPr>
          <w:rFonts w:ascii="仿宋" w:hAnsi="仿宋" w:eastAsia="仿宋" w:cs="仿宋"/>
          <w:sz w:val="32"/>
          <w:szCs w:val="32"/>
        </w:rPr>
        <w:t>7.12</w:t>
      </w:r>
      <w:r>
        <w:rPr>
          <w:rFonts w:hint="eastAsia" w:ascii="仿宋" w:hAnsi="仿宋" w:eastAsia="仿宋" w:cs="仿宋"/>
          <w:sz w:val="32"/>
          <w:szCs w:val="32"/>
        </w:rPr>
        <w:t>万元，主要原因是因为因公出国（境）费与</w:t>
      </w:r>
      <w:r>
        <w:rPr>
          <w:rFonts w:ascii="仿宋" w:hAnsi="仿宋" w:eastAsia="仿宋" w:cs="仿宋"/>
          <w:sz w:val="32"/>
          <w:szCs w:val="32"/>
        </w:rPr>
        <w:t>2017</w:t>
      </w:r>
      <w:r>
        <w:rPr>
          <w:rFonts w:hint="eastAsia" w:ascii="仿宋" w:hAnsi="仿宋" w:eastAsia="仿宋" w:cs="仿宋"/>
          <w:sz w:val="32"/>
          <w:szCs w:val="32"/>
        </w:rPr>
        <w:t>年持平，无增减变化；公务用车购置费与</w:t>
      </w:r>
      <w:r>
        <w:rPr>
          <w:rFonts w:ascii="仿宋" w:hAnsi="仿宋" w:eastAsia="仿宋" w:cs="仿宋"/>
          <w:sz w:val="32"/>
          <w:szCs w:val="32"/>
        </w:rPr>
        <w:t>2017</w:t>
      </w:r>
      <w:r>
        <w:rPr>
          <w:rFonts w:hint="eastAsia" w:ascii="仿宋" w:hAnsi="仿宋" w:eastAsia="仿宋" w:cs="仿宋"/>
          <w:sz w:val="32"/>
          <w:szCs w:val="32"/>
        </w:rPr>
        <w:t>年持平，无增减变化；公务用车运行维护费与</w:t>
      </w:r>
      <w:r>
        <w:rPr>
          <w:rFonts w:ascii="仿宋" w:hAnsi="仿宋" w:eastAsia="仿宋" w:cs="仿宋"/>
          <w:sz w:val="32"/>
          <w:szCs w:val="32"/>
        </w:rPr>
        <w:t>2017</w:t>
      </w:r>
      <w:r>
        <w:rPr>
          <w:rFonts w:hint="eastAsia" w:ascii="仿宋" w:hAnsi="仿宋" w:eastAsia="仿宋" w:cs="仿宋"/>
          <w:sz w:val="32"/>
          <w:szCs w:val="32"/>
        </w:rPr>
        <w:t>年持平，无增减变化；公务接待费减少</w:t>
      </w:r>
      <w:r>
        <w:rPr>
          <w:rFonts w:ascii="仿宋" w:hAnsi="仿宋" w:eastAsia="仿宋" w:cs="仿宋"/>
          <w:sz w:val="32"/>
          <w:szCs w:val="32"/>
        </w:rPr>
        <w:t>7.12</w:t>
      </w:r>
      <w:r>
        <w:rPr>
          <w:rFonts w:hint="eastAsia" w:ascii="仿宋" w:hAnsi="仿宋" w:eastAsia="仿宋" w:cs="仿宋"/>
          <w:sz w:val="32"/>
          <w:szCs w:val="32"/>
        </w:rPr>
        <w:t>万元，减少原因为计提基数减少。</w:t>
      </w:r>
    </w:p>
    <w:p>
      <w:pPr>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楷体_GB2312" w:hAnsi="Times New Roman" w:eastAsia="楷体_GB2312" w:cs="Times New Roman"/>
          <w:sz w:val="32"/>
          <w:szCs w:val="32"/>
        </w:rPr>
      </w:pPr>
      <w:bookmarkStart w:id="0" w:name="_Toc471398463"/>
      <w:r>
        <w:rPr>
          <w:rFonts w:hint="eastAsia" w:ascii="楷体" w:hAnsi="楷体" w:eastAsia="楷体" w:cs="楷体"/>
          <w:b/>
          <w:bCs/>
          <w:sz w:val="32"/>
          <w:szCs w:val="32"/>
        </w:rPr>
        <w:t>总体绩效目标</w:t>
      </w:r>
      <w:r>
        <w:rPr>
          <w:rFonts w:hint="eastAsia" w:ascii="楷体_GB2312" w:hAnsi="Times New Roman" w:eastAsia="楷体_GB2312" w:cs="楷体_GB2312"/>
          <w:sz w:val="32"/>
          <w:szCs w:val="32"/>
        </w:rPr>
        <w:t>：</w:t>
      </w:r>
    </w:p>
    <w:p>
      <w:pPr>
        <w:ind w:firstLine="640" w:firstLineChars="200"/>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霸州市国土资源管理工作的基本思路是：以党的十八大和十八届三中、四中全会精神为指导，认真学习贯彻上级关于国土资源工作的一系列重要指示精神，全面巩固党的群众路线教育实践活动成果，按照市委、市政府和廊坊市国土资源局的工作部署，稳中求进，改革创新，努力做到保护资源更加严格规范、利用资源更加集约节约、维护群众权益更加有力有效，为服务全市经济社会科学发展作出积极贡献。</w:t>
      </w:r>
    </w:p>
    <w:p>
      <w:pPr>
        <w:ind w:firstLine="643" w:firstLineChars="200"/>
        <w:jc w:val="left"/>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bookmarkEnd w:id="0"/>
    <w:p>
      <w:pPr>
        <w:jc w:val="center"/>
        <w:outlineLvl w:val="0"/>
        <w:rPr>
          <w:rFonts w:ascii="方正小标宋_GBK" w:eastAsia="方正小标宋_GBK" w:cs="Times New Roman"/>
          <w:sz w:val="32"/>
          <w:szCs w:val="32"/>
        </w:rPr>
      </w:pPr>
      <w:bookmarkStart w:id="1" w:name="_Toc506327093"/>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813</w:t>
            </w:r>
            <w:r>
              <w:rPr>
                <w:rFonts w:hint="eastAsia" w:ascii="方正小标宋_GBK" w:eastAsia="方正小标宋_GBK" w:cs="方正小标宋_GBK"/>
                <w:sz w:val="24"/>
                <w:szCs w:val="24"/>
              </w:rPr>
              <w:t>霸州市国土资源局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12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141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2948" w:type="dxa"/>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cs="Times New Roman"/>
              </w:rPr>
            </w:pPr>
          </w:p>
        </w:tc>
        <w:tc>
          <w:tcPr>
            <w:tcW w:w="12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1417" w:type="dxa"/>
            <w:vMerge w:val="continue"/>
            <w:vAlign w:val="center"/>
          </w:tcPr>
          <w:p>
            <w:pPr>
              <w:spacing w:line="300" w:lineRule="exact"/>
              <w:jc w:val="left"/>
              <w:outlineLvl w:val="0"/>
              <w:rPr>
                <w:rFonts w:cs="Times New Roman"/>
              </w:rPr>
            </w:pP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一、土地资源管理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146882.09</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组织实施耕地与基本农田保护工作</w:t>
            </w:r>
            <w:r>
              <w:rPr>
                <w:rFonts w:ascii="方正书宋_GBK" w:eastAsia="方正书宋_GBK" w:cs="方正书宋_GBK"/>
              </w:rPr>
              <w:t>,</w:t>
            </w:r>
            <w:r>
              <w:rPr>
                <w:rFonts w:hint="eastAsia" w:ascii="方正书宋_GBK" w:eastAsia="方正书宋_GBK" w:cs="方正书宋_GBK"/>
              </w:rPr>
              <w:t>组织建设用地审批，开展农村集体土地确权登记发证与土地变更调查</w:t>
            </w:r>
            <w:r>
              <w:rPr>
                <w:rFonts w:ascii="方正书宋_GBK" w:eastAsia="方正书宋_GBK" w:cs="方正书宋_GBK"/>
              </w:rPr>
              <w:t>,</w:t>
            </w:r>
            <w:r>
              <w:rPr>
                <w:rFonts w:hint="eastAsia" w:ascii="方正书宋_GBK" w:eastAsia="方正书宋_GBK" w:cs="方正书宋_GBK"/>
              </w:rPr>
              <w:t>做好土地利用工作和不动产登记，指导监督全市不动产，负责全县土地登记、房屋登记、林地登记、水域滩涂等不动产登记工作，会同有关部门起草不动产统一登记。</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实现基本农田面积不减少，质量有提高，各行业合理用地需求得到保障，土地节约集约利用水平进一步提高，保证全县耕地占补平衡。</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、耕地与基本农田保护</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146100.00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开展基本农田保护和土地整理、复垦、开发工作。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实现土地整治补充耕地</w:t>
            </w:r>
            <w:r>
              <w:rPr>
                <w:rFonts w:ascii="方正书宋_GBK" w:eastAsia="方正书宋_GBK" w:cs="方正书宋_GBK"/>
              </w:rPr>
              <w:t xml:space="preserve"> </w:t>
            </w:r>
            <w:r>
              <w:rPr>
                <w:rFonts w:hint="eastAsia" w:ascii="方正书宋_GBK" w:eastAsia="方正书宋_GBK" w:cs="方正书宋_GBK"/>
              </w:rPr>
              <w:t>亩以上，确保全县耕地占补平衡，完成年度建设高标准基本农田建设任务，开展土地复垦方案的审查，完成耕地保护相关制度研究。</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在建土地整治项目督导（含测量）次数</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土地变更调查新增耕地管理信息核查标注完成率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耕地质量等别更新与监测完成率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完成占补平衡新增耕地面积率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验收报备的总量平衡项目工程数量核实完成率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[0,90%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土地复垦方案审查完成率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、地籍管理</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548.00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开展土地确权登记发证工作，组织县级土地利用现状变化调查和检查，更新县级土地调查数据库，生成增量数据包，开展县级的不动产统一登记工作。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持全市土地变更数据的现势性和连续性，为国土资源各类审批业务提供数据和图件支持；实现农村集体土地确权登记发证和不动产登记业务流程的信息化和规范化；掌握全市耕地后备资源的分布情况，为后续资源的利用奠定基础</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不动产登记工作的调查研究开展率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全县（包括开发区）土地登记信息动态监管查询系统建设工作完成率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年度土地变更调查工作完成率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地籍管理完成率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完善不动产统一平台功能及数据汇交工作完成率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统一不动产登记数据工作完成率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不动产权利证书发放工作量完成率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、土地利用管理</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234.09</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推进节约集约用地，管理和监督城乡建设用地供应、政府土地储备、土地开发和节约集约利用，组织实施城乡建设用地增减挂钩。</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对全市城市地价和土地市场进行动态监测，为市政府宏观调控和稳定土地市场提供决策依据；掌握评价城市和开发区土地利用现状和节约集约程度，为科学管地用地提供依据。</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开展建设用地集约利用评价数量</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节约集约用地、土地利用管理相关制度改革研究完成率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4</w:t>
            </w:r>
            <w:r>
              <w:rPr>
                <w:rFonts w:hint="eastAsia" w:ascii="方正书宋_GBK" w:eastAsia="方正书宋_GBK" w:cs="方正书宋_GBK"/>
              </w:rPr>
              <w:t>个及以上</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3</w:t>
            </w:r>
            <w:r>
              <w:rPr>
                <w:rFonts w:hint="eastAsia" w:ascii="方正书宋_GBK" w:eastAsia="方正书宋_GBK" w:cs="方正书宋_GBK"/>
              </w:rPr>
              <w:t>个</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2</w:t>
            </w:r>
            <w:r>
              <w:rPr>
                <w:rFonts w:hint="eastAsia" w:ascii="方正书宋_GBK" w:eastAsia="方正书宋_GBK" w:cs="方正书宋_GBK"/>
              </w:rPr>
              <w:t>个</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中国开发区审核公告目录（</w:t>
            </w:r>
            <w:r>
              <w:rPr>
                <w:rFonts w:ascii="方正书宋_GBK" w:eastAsia="方正书宋_GBK" w:cs="方正书宋_GBK"/>
              </w:rPr>
              <w:t>2006</w:t>
            </w:r>
            <w:r>
              <w:rPr>
                <w:rFonts w:hint="eastAsia" w:ascii="方正书宋_GBK" w:eastAsia="方正书宋_GBK" w:cs="方正书宋_GBK"/>
              </w:rPr>
              <w:t>年版）中河北省</w:t>
            </w:r>
            <w:r>
              <w:rPr>
                <w:rFonts w:ascii="方正书宋_GBK" w:eastAsia="方正书宋_GBK" w:cs="方正书宋_GBK"/>
              </w:rPr>
              <w:t>50</w:t>
            </w:r>
            <w:r>
              <w:rPr>
                <w:rFonts w:hint="eastAsia" w:ascii="方正书宋_GBK" w:eastAsia="方正书宋_GBK" w:cs="方正书宋_GBK"/>
              </w:rPr>
              <w:t>个开发区土地集约利用评价与更新数量</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完成县土地市场和城市地价动态监测分析并提交季度报告</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[75%,100%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[50%,75%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[0%,50%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是否获得</w:t>
            </w:r>
            <w:r>
              <w:rPr>
                <w:rFonts w:ascii="方正书宋_GBK" w:eastAsia="方正书宋_GBK"/>
              </w:rPr>
              <w:t>“</w:t>
            </w:r>
            <w:r>
              <w:rPr>
                <w:rFonts w:hint="eastAsia" w:ascii="方正书宋_GBK" w:eastAsia="方正书宋_GBK" w:cs="方正书宋_GBK"/>
              </w:rPr>
              <w:t>国土资源节约集约模范县</w:t>
            </w:r>
            <w:r>
              <w:rPr>
                <w:rFonts w:ascii="方正书宋_GBK" w:eastAsia="方正书宋_GBK"/>
              </w:rPr>
              <w:t>”</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城乡建设用地增减挂钩工作完成率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监测分析工作完成率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50%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国有建设用地供应计划完成情况</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完成基准地价更新，提交成果</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按时按质完成</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延后二周完成</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延后一个月完成</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延后一个月以上完成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二、矿产资源管理与地质环境保护</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负责全县矿产资源开发管理，组织实施矿产资源勘查、重大地质勘查，推动地质环境恢复治理和地质遗迹保护工作。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地质找矿取得显著成效，加强地质灾害防治力度和环境治理，按规定推进矿产资源管理。</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、矿产资源开发与保护</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组织实施县级矿业权审批登记发证的管理工作，编制实施矿业权设置方案，矿产资源保护和保护性开采特定矿种的管理事项，下达开采总量控制指标，管理矿业权市场，调处重大矿业权权属纠纷。</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为矿产资源管理提供储量依据，维护国家矿产资源所有权益，掌控资源储量家底，提供宏观调控依据，为建设项目选址和压覆矿产资源调查提供决策依据，提高矿产资源综合利用能力，保护重要地质资料成果，降低地质工作风险，减少重复工作和资金浪费。</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提交的查明矿产地个数</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重大矿业权权属纠纷有效处理率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统计分析率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全县矿产资源勘查实施方案审查完成率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矿产开发利用方案审查率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不压覆矿产资源证明及压覆矿产资源初审工作完成率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、地质勘查</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组织全省矿产资源调查评价，编制地质勘查规划并监督检查执行情况，管理地质勘查项目，组织实施重大地质勘查项目，管理地质勘查行业和地勘单位资质，组织实施全省找矿突破战略行动</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加强我县基础地质和地质找矿工作，服务地质勘查行业，提高我省经济和社会发展资源保障程度，引导社会资本有序投入地质勘查，推进地质勘查项目监管能力。</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带动社会资本投入量</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可供进一步勘查工作基地个数</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3</w:t>
            </w:r>
            <w:r>
              <w:rPr>
                <w:rFonts w:hint="eastAsia" w:ascii="方正书宋_GBK" w:eastAsia="方正书宋_GBK" w:cs="方正书宋_GBK"/>
              </w:rPr>
              <w:t>处及以上</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2</w:t>
            </w:r>
            <w:r>
              <w:rPr>
                <w:rFonts w:hint="eastAsia" w:ascii="方正书宋_GBK" w:eastAsia="方正书宋_GBK" w:cs="方正书宋_GBK"/>
              </w:rPr>
              <w:t>处</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处</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w:t>
            </w:r>
            <w:r>
              <w:rPr>
                <w:rFonts w:hint="eastAsia" w:ascii="方正书宋_GBK" w:eastAsia="方正书宋_GBK" w:cs="方正书宋_GBK"/>
              </w:rPr>
              <w:t>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地勘成果统计率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地勘项目管理和监管工作完成率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勘查设计工作量完成率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、矿产资源储量管理</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为矿产资源管理提供储量依据，维护国家矿产资源所有权益，掌控资源储量家底，提供宏观调控依据，为建设项目选址和压覆矿产资源调查提供决策依据，提高矿产资源综合利用能力，保护重要地质资料成果，降低地质工作风险，减少重复工作和资金浪费。</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地质资料管理工作完成率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矿产资源储量管理基础工作完成率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矿产资源勘查和开发利用督察工作完成率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4</w:t>
            </w:r>
            <w:r>
              <w:rPr>
                <w:rFonts w:hint="eastAsia" w:ascii="方正书宋_GBK" w:eastAsia="方正书宋_GBK" w:cs="方正书宋_GBK"/>
                <w:b/>
                <w:bCs/>
              </w:rPr>
              <w:t>、地质环境保护</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组织实施县级矿业权审批登记发证的管理工作，编制实施矿业权设置方案，矿产资源保护和保护性开采特定矿种的管理事项，下达开采总量控制指标，管理矿业权市场，调处重大矿业权权属纠纷。</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促进我县矿业权设置科学合理布局，保障和促进矿产资源的合理开发利用，为我县矿产资源的可持续发展提供保障。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矿山环境整治完成率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地质遗迹保护率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全县矿产资源勘查实施方案审查完成率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矿山环境动态数据库建设工作完成率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5</w:t>
            </w:r>
            <w:r>
              <w:rPr>
                <w:rFonts w:hint="eastAsia" w:ascii="方正书宋_GBK" w:eastAsia="方正书宋_GBK" w:cs="方正书宋_GBK"/>
                <w:b/>
                <w:bCs/>
              </w:rPr>
              <w:t>、地质灾害防治</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组织实施地质灾害的防治工作，建立地质灾害调查评价、监测预警、应急和治理避让体系。</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提高地质灾害预警预报水平，做好汛期地质灾害防治工作，确保人民生命财产安全；为做好地质灾害防治工作提供科学依据。</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全县地质灾害详细调查、数据库建设与综合研究工作完成率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地质灾害预警预报能力</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风险预警预报率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地质灾害监测点排查、核查率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防治方案制定率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隐患点排查核查率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6</w:t>
            </w:r>
            <w:r>
              <w:rPr>
                <w:rFonts w:hint="eastAsia" w:ascii="方正书宋_GBK" w:eastAsia="方正书宋_GBK" w:cs="方正书宋_GBK"/>
                <w:b/>
                <w:bCs/>
              </w:rPr>
              <w:t>、地下水监测与地热、矿泉水管理</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开展地下水和地面沉降监测，服务于地下水超采综合治理、地面沉降防治和地下水污染防治。开展地热、浅层地温能和矿泉水资源调查评价、监测与数据库建设。</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完善地下水、地面沉降监测网络，提高自动化监测水平。开展全县地热、浅层地温能和矿泉水资源调查评价，服务于全县经济社会发展。</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监测数据有效利用率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地下水、地面沉降监测网络建设与监测率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浅层地温能调查评价完成率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三、海洋资源管理</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加强海域使用、海洋环境保护及海洋综合管理工作。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积极支持沿海地区，着力提高海洋管理服务水平。</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、海域使用管理</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做好海域使用论证评估工作，编制实施海洋功能区划和海岸保护利用规划，组织实施海域界线的勘定和管理，承担海域使用统计工作。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做好海域海岸带整治修复工作；完成市级审批的</w:t>
            </w:r>
            <w:r>
              <w:rPr>
                <w:rFonts w:ascii="方正书宋_GBK" w:eastAsia="方正书宋_GBK" w:cs="方正书宋_GBK"/>
              </w:rPr>
              <w:t>9</w:t>
            </w:r>
            <w:r>
              <w:rPr>
                <w:rFonts w:hint="eastAsia" w:ascii="方正书宋_GBK" w:eastAsia="方正书宋_GBK" w:cs="方正书宋_GBK"/>
              </w:rPr>
              <w:t>类用海项目的海域使用权确权；监测全市</w:t>
            </w:r>
            <w:r>
              <w:rPr>
                <w:rFonts w:ascii="方正书宋_GBK" w:eastAsia="方正书宋_GBK" w:cs="方正书宋_GBK"/>
              </w:rPr>
              <w:t xml:space="preserve">    </w:t>
            </w:r>
            <w:r>
              <w:rPr>
                <w:rFonts w:hint="eastAsia" w:ascii="方正书宋_GBK" w:eastAsia="方正书宋_GBK" w:cs="方正书宋_GBK"/>
              </w:rPr>
              <w:t>公里海岸线和重要河口等空间资源利用情况。</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发布海域使用权统计及用海信息及时准确率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监视监测海域使用情况信息及时掌握率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r>
              <w:rPr>
                <w:rFonts w:hint="eastAsia" w:ascii="方正书宋_GBK" w:eastAsia="方正书宋_GBK" w:cs="方正书宋_GBK"/>
              </w:rPr>
              <w:t>）</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[0,80%</w:t>
            </w:r>
            <w:r>
              <w:rPr>
                <w:rFonts w:hint="eastAsia" w:ascii="方正书宋_GBK" w:eastAsia="方正书宋_GBK" w:cs="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发布海域使用权统计及用海信息及时准确率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监视监测海域使用情况信息及时掌握率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海域海岸带整治修复工作完成率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海域使用监测率</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、海洋生态环境保护与预报减灾</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强化重点海洋环境综合整治和海洋环境监视监测工作，开展海洋防灾减灾与生态保护工作，编制专项环境信息。</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测与评价我市海域环境质量现状，全面掌握我市近岸海域环境质量状况、海洋功能区环境状况、近岸生态系统健康状况和主要入海污染源状况。掌握我市所辖海域海洋水文气象状况，为海洋防灾减灾提供技术支撑。</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海洋生态环境保护与建设完成率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监测数据合格率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全县海洋环境监测与评价完成率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海洋观测预报完成率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获取水文气象观测数据数量完成率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、海岛管理和海洋经济服务</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加强海岛监视监测系统运行管理，积极推进海岛管理，开展海洋经济发展研究和海洋经济服务工作。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已开发无居民海岛和有重要生态价值海岛得到全面监视监测，海岛生态环境不断改善，开发利用秩序日益规范，自然资源开发利用科学合理。全市海洋经济发展情况掌握及时。</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海岛及其周边海域生态环境整治修复工作量完成率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[75%,85%)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全县海岛监视监测系统业务化运行实现率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海洋经济发展研究工作完成率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填报《海洋生产总值核算制度》、《海洋统计报表制度》相关报表次数</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[80%,100%)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[60%,80%)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海岛使用情况调查完成率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[75%,85%)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海岛监视监测率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四、国土资源执法与监察</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425.00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强化县级国土资源执法监察工作</w:t>
            </w:r>
            <w:r>
              <w:rPr>
                <w:rFonts w:ascii="方正书宋_GBK" w:eastAsia="方正书宋_GBK" w:cs="方正书宋_GBK"/>
              </w:rPr>
              <w:t>,</w:t>
            </w:r>
            <w:r>
              <w:rPr>
                <w:rFonts w:hint="eastAsia" w:ascii="方正书宋_GBK" w:eastAsia="方正书宋_GBK" w:cs="方正书宋_GBK"/>
              </w:rPr>
              <w:t>提高国土资源执法能力。</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进一步加大执法监督力度。</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、国土资源执法监察</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425.00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组织各级国土资源（海洋）执法监察部门，落实巡查、巡航制度，及时发现、制止违法行为。依法查处案件，开展卫片执法监督检查，协调、联络国家土地督察机构，推进国土资源基层所标准化建设。</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保障执法监察工作开展的基础性建设，加强日常执法监管，将违法解决在初始、遏制在萌芽；做好重点执法专项行动，严厉打击违法，维护群众合法权益。</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重大典型违法案件调查反馈率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专项执法工作开展完成率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土地、矿产卫片执法监督检查各项任务完成率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(99%,100%]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(95%,99%]</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ascii="方正书宋_GBK" w:eastAsia="方正书宋_GBK" w:cs="方正书宋_GBK"/>
              </w:rPr>
              <w:t>12336</w:t>
            </w:r>
            <w:r>
              <w:rPr>
                <w:rFonts w:hint="eastAsia" w:ascii="方正书宋_GBK" w:eastAsia="方正书宋_GBK" w:cs="方正书宋_GBK"/>
              </w:rPr>
              <w:t>等违法举报督办案件反馈率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受理造成矿产资源破坏价值鉴定申请鉴定结论率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基础性保障项目完成率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五、国土资源政务管理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7074.91</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负责国土资源系统综合业务管理和机关综合事务管理。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进一步增强国土资源（海洋）管理能力。</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、综合业务管理</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制定编制县级国土资源规划，制定相关政策法规，开展国土资源科技发展研究等。</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规范做好国土资源（海洋）各类规划编制和实施，用地计划、用地预审管理，工矿废弃地复垦利用试点，绿色矿山、示范基地建设，全面推行国土资源（海洋）工作依法行政，推动普法工作落实，做好行政复议、行政应诉工作，推进国土资源（海洋）科技的应用和推广。</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综合业务管理工作完成率</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Times New Roman"/>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、综合事务管理</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7074.91</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做好国土资源相关综合性事务管理，保证行政工作高效有序运行。</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提供不动产登记能力</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国土资源（海洋）信息安全体系建设</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国土资源（海洋）管理网络体系及相关数据、档案、信息服务管理</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国土资源（海洋）宣传工作，及相关资料编写发布</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国土资源（海洋）财务管理工作完成率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项目用地预审率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国土资源（海洋）业务相关规划编制、修订率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国土资源（海洋）科技发展研究建设及外事交流活动完成率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国土资源（海洋）业务管理综合统计及制度研究完成率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机关事务管理工作完成率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不动产登记财务管理工作完成率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[85%,90%)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、国土测绘地理信息管理</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拟定地理信息政策，指导地理信息行业发展；管理和维护全市地理信息基础设施和测量标志；承担测绘资质、资格和成果质量的监督管理工作，负责测绘项目备案登记，测绘作业证审核管理。组织管理基础测绘和其他重大测绘项目，管理不动产测绘，管理地方测绘基准。</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指导地理信息行业产业；保障经济社会发展；规范地理信息市场秩序，加强监督管理，加强市场监管查处违法案件；地理信息法制宣传及普法；发展地理国情监测成果在政府决策、经济社会发展和社会公众服务中的应用</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制定地理信息发展规划、计划及行业管理政策，指导地理信息行业产业健康发展</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提升地理信息基础设施和测量标志的维护管理，基础测绘及其他重大项目的组织实施</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执法监督检查各项任务完成情况</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地理信息社会化服务水平和应急保障能力，加强涉密地理信息成果管理</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数字城市建设与管理</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地理信息科技开发</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测绘法宣传普法</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开展本区域地理国情监测</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六、土地储备交易管理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43000.00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编制年度土地收购储备计划、土地供应计划、土地一级开发计划。</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完成年度土地收购储备计划、供地计划；进一步提高土地供应效率，加快土地出让速度，扩大土地出让规模，实现政府收益最大化。</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、土地储备</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43000.00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开展新增地、棚改项目用地、存量土地征地、收储工作；土地供地前期有关准备工作。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实现土地收储</w:t>
            </w:r>
            <w:r>
              <w:rPr>
                <w:rFonts w:ascii="方正书宋_GBK" w:eastAsia="方正书宋_GBK" w:cs="方正书宋_GBK"/>
              </w:rPr>
              <w:t xml:space="preserve">  </w:t>
            </w:r>
            <w:r>
              <w:rPr>
                <w:rFonts w:hint="eastAsia" w:ascii="方正书宋_GBK" w:eastAsia="方正书宋_GBK" w:cs="方正书宋_GBK"/>
              </w:rPr>
              <w:t>，确保完成年度土地收储计划，做好土地出让前有关储备工作。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完成收储土地占计划比例</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工作进度比例</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七、土地开发整理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5684.80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负责市规划区内的土地开发、一级开发管理。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完成土地一级开发年度计划、开发实施方案的编制和报批，招标管理、监管与验收工作；进一步提高土地供应效率，加快土地出让速度，扩大土地出让规模，实现政府收益最大化。</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、土地一级开发年度计划编制、报批</w:t>
            </w:r>
            <w:r>
              <w:rPr>
                <w:rFonts w:ascii="方正书宋_GBK" w:eastAsia="方正书宋_GBK" w:cs="方正书宋_GBK"/>
                <w:b/>
                <w:bCs/>
              </w:rPr>
              <w:t>.</w:t>
            </w:r>
            <w:r>
              <w:rPr>
                <w:rFonts w:hint="eastAsia" w:ascii="方正书宋_GBK" w:eastAsia="方正书宋_GBK" w:cs="方正书宋_GBK"/>
                <w:b/>
                <w:bCs/>
              </w:rPr>
              <w:t>土地一级开发实施方案编制、报批</w:t>
            </w:r>
            <w:r>
              <w:rPr>
                <w:rFonts w:ascii="方正书宋_GBK" w:eastAsia="方正书宋_GBK" w:cs="方正书宋_GBK"/>
                <w:b/>
                <w:bCs/>
              </w:rPr>
              <w:t>.</w:t>
            </w:r>
            <w:r>
              <w:rPr>
                <w:rFonts w:hint="eastAsia" w:ascii="方正书宋_GBK" w:eastAsia="方正书宋_GBK" w:cs="方正书宋_GBK"/>
                <w:b/>
                <w:bCs/>
              </w:rPr>
              <w:t>土地一级开发招标管理</w:t>
            </w:r>
            <w:r>
              <w:rPr>
                <w:rFonts w:ascii="方正书宋_GBK" w:eastAsia="方正书宋_GBK" w:cs="方正书宋_GBK"/>
                <w:b/>
                <w:bCs/>
              </w:rPr>
              <w:t>.</w:t>
            </w:r>
            <w:r>
              <w:rPr>
                <w:rFonts w:hint="eastAsia" w:ascii="方正书宋_GBK" w:eastAsia="方正书宋_GBK" w:cs="方正书宋_GBK"/>
                <w:b/>
                <w:bCs/>
              </w:rPr>
              <w:t>土地一级开发监管与验收</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5684.80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编制、报批土地一级开发年度计划；编制报批土地一级开发实施方案；招标确定一级开发企业，签署土地一级开发合作协议；对土地一级开发项目进度、质量等进行监督、管理；核定开发成本，会同相关部门、单位进行竣工验收。</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土地一级开发年度计划编制、报批；完成编制报批土地一级开发实施方案；招标确定一级开发企业，签署土地一级开发合作协议；完成土地一级开发项目进度、质量等监管工作；完成项目土地开发成本的核算及项目竣工验收工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项目实施过程安全规范，能够交工及质量验收合格</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土地一级开发合作协议的政府批示性文件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编制土地一级开发年度计划文件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取得政府批复文件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取得项目验收移交文件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取得政府批复文件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土地一级开发实施方案文件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土地一级开发项目招标代理委托协议的政府批示性文件</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八、土地交易管理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18.00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负责市规划区内的土地市场交易、一级开发管理；负责市土地交易市场招标拍卖挂牌业务咨询、组织、交易。</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招标管理、监管与验收工作；进一步提高土地供应效率，加快土地出让速度，扩大土地出让规模，实现政府收益最大化。</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、土地交易</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18.00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国有建设用地使用权招拍挂出让，网站媒体发布招拍挂公告、成交信息</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实现土地出让，确保完成年度土地出让计划</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完成出让土地占计划比例</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60%</w:t>
            </w:r>
          </w:p>
        </w:tc>
      </w:tr>
    </w:tbl>
    <w:p>
      <w:pPr>
        <w:spacing w:line="300" w:lineRule="exact"/>
        <w:jc w:val="left"/>
        <w:outlineLvl w:val="0"/>
        <w:rPr>
          <w:rFonts w:cs="Times New Roman"/>
        </w:rPr>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outlineLvl w:val="0"/>
        <w:rPr>
          <w:rFonts w:ascii="仿宋" w:hAnsi="仿宋" w:eastAsia="仿宋" w:cs="Times New Roman"/>
          <w:sz w:val="32"/>
          <w:szCs w:val="32"/>
        </w:rPr>
      </w:pPr>
      <w:bookmarkStart w:id="2" w:name="_Toc471398468"/>
      <w:r>
        <w:rPr>
          <w:rFonts w:ascii="仿宋" w:hAnsi="仿宋" w:eastAsia="仿宋" w:cs="仿宋"/>
          <w:sz w:val="32"/>
          <w:szCs w:val="32"/>
        </w:rPr>
        <w:t>2018</w:t>
      </w:r>
      <w:r>
        <w:rPr>
          <w:rFonts w:hint="eastAsia" w:ascii="仿宋" w:hAnsi="仿宋" w:eastAsia="仿宋" w:cs="仿宋"/>
          <w:sz w:val="32"/>
          <w:szCs w:val="32"/>
        </w:rPr>
        <w:t>年，霸州市国土资源局安排政府采购预算</w:t>
      </w:r>
      <w:r>
        <w:rPr>
          <w:rFonts w:ascii="仿宋" w:hAnsi="仿宋" w:eastAsia="仿宋" w:cs="仿宋"/>
          <w:sz w:val="32"/>
          <w:szCs w:val="32"/>
        </w:rPr>
        <w:t>8614.59</w:t>
      </w:r>
      <w:r>
        <w:rPr>
          <w:rFonts w:hint="eastAsia" w:ascii="仿宋" w:hAnsi="仿宋" w:eastAsia="仿宋" w:cs="仿宋"/>
          <w:sz w:val="32"/>
          <w:szCs w:val="32"/>
        </w:rPr>
        <w:t>万元。具体内容见下表。</w:t>
      </w:r>
    </w:p>
    <w:p>
      <w:pPr>
        <w:jc w:val="center"/>
        <w:outlineLvl w:val="0"/>
        <w:rPr>
          <w:rFonts w:ascii="方正小标宋_GBK" w:eastAsia="方正小标宋_GBK" w:cs="Times New Roman"/>
          <w:sz w:val="32"/>
          <w:szCs w:val="32"/>
        </w:rPr>
      </w:pPr>
      <w:bookmarkStart w:id="3" w:name="_Toc506327099"/>
      <w:r>
        <w:rPr>
          <w:rFonts w:hint="eastAsia" w:ascii="方正小标宋_GBK" w:eastAsia="方正小标宋_GBK" w:cs="方正小标宋_GBK"/>
          <w:sz w:val="32"/>
          <w:szCs w:val="32"/>
        </w:rPr>
        <w:t>部门政府采购预算</w:t>
      </w:r>
      <w:bookmarkEnd w:id="3"/>
    </w:p>
    <w:tbl>
      <w:tblPr>
        <w:tblStyle w:val="6"/>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980"/>
        <w:gridCol w:w="855"/>
        <w:gridCol w:w="1524"/>
        <w:gridCol w:w="643"/>
        <w:gridCol w:w="859"/>
        <w:gridCol w:w="976"/>
        <w:gridCol w:w="976"/>
        <w:gridCol w:w="976"/>
        <w:gridCol w:w="976"/>
        <w:gridCol w:w="976"/>
        <w:gridCol w:w="847"/>
        <w:gridCol w:w="847"/>
        <w:gridCol w:w="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6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813</w:t>
            </w:r>
            <w:r>
              <w:rPr>
                <w:rFonts w:hint="eastAsia" w:ascii="方正小标宋_GBK" w:eastAsia="方正小标宋_GBK" w:cs="方正小标宋_GBK"/>
                <w:sz w:val="24"/>
                <w:szCs w:val="24"/>
              </w:rPr>
              <w:t>霸州市国土资源局</w:t>
            </w:r>
          </w:p>
        </w:tc>
        <w:tc>
          <w:tcPr>
            <w:tcW w:w="6402"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309"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855"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524"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64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85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402"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2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980"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855" w:type="dxa"/>
            <w:vMerge w:val="continue"/>
            <w:vAlign w:val="center"/>
          </w:tcPr>
          <w:p>
            <w:pPr>
              <w:spacing w:line="300" w:lineRule="exact"/>
              <w:jc w:val="left"/>
              <w:outlineLvl w:val="0"/>
              <w:rPr>
                <w:rFonts w:cs="Times New Roman"/>
              </w:rPr>
            </w:pPr>
          </w:p>
        </w:tc>
        <w:tc>
          <w:tcPr>
            <w:tcW w:w="1524" w:type="dxa"/>
            <w:vMerge w:val="continue"/>
            <w:vAlign w:val="center"/>
          </w:tcPr>
          <w:p>
            <w:pPr>
              <w:spacing w:line="300" w:lineRule="exact"/>
              <w:jc w:val="left"/>
              <w:outlineLvl w:val="0"/>
              <w:rPr>
                <w:rFonts w:cs="Times New Roman"/>
              </w:rPr>
            </w:pPr>
          </w:p>
        </w:tc>
        <w:tc>
          <w:tcPr>
            <w:tcW w:w="643" w:type="dxa"/>
            <w:vMerge w:val="continue"/>
            <w:vAlign w:val="center"/>
          </w:tcPr>
          <w:p>
            <w:pPr>
              <w:spacing w:line="300" w:lineRule="exact"/>
              <w:jc w:val="left"/>
              <w:outlineLvl w:val="0"/>
              <w:rPr>
                <w:rFonts w:cs="Times New Roman"/>
              </w:rPr>
            </w:pPr>
          </w:p>
        </w:tc>
        <w:tc>
          <w:tcPr>
            <w:tcW w:w="859" w:type="dxa"/>
            <w:vMerge w:val="continue"/>
            <w:vAlign w:val="center"/>
          </w:tcPr>
          <w:p>
            <w:pPr>
              <w:spacing w:line="300" w:lineRule="exact"/>
              <w:jc w:val="left"/>
              <w:outlineLvl w:val="0"/>
              <w:rPr>
                <w:rFonts w:cs="Times New Roman"/>
              </w:rPr>
            </w:pPr>
          </w:p>
        </w:tc>
        <w:tc>
          <w:tcPr>
            <w:tcW w:w="976" w:type="dxa"/>
            <w:vMerge w:val="continue"/>
            <w:vAlign w:val="center"/>
          </w:tcPr>
          <w:p>
            <w:pPr>
              <w:spacing w:line="300" w:lineRule="exact"/>
              <w:jc w:val="left"/>
              <w:outlineLvl w:val="0"/>
              <w:rPr>
                <w:rFonts w:cs="Times New Roman"/>
              </w:rPr>
            </w:pPr>
          </w:p>
        </w:tc>
        <w:tc>
          <w:tcPr>
            <w:tcW w:w="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622"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804"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29" w:type="dxa"/>
            <w:vMerge w:val="continue"/>
            <w:vAlign w:val="center"/>
          </w:tcPr>
          <w:p>
            <w:pPr>
              <w:spacing w:line="300" w:lineRule="exact"/>
              <w:jc w:val="left"/>
              <w:outlineLvl w:val="0"/>
              <w:rPr>
                <w:rFonts w:cs="Times New Roman"/>
              </w:rPr>
            </w:pPr>
          </w:p>
        </w:tc>
        <w:tc>
          <w:tcPr>
            <w:tcW w:w="980" w:type="dxa"/>
            <w:vMerge w:val="continue"/>
            <w:vAlign w:val="center"/>
          </w:tcPr>
          <w:p>
            <w:pPr>
              <w:spacing w:line="300" w:lineRule="exact"/>
              <w:jc w:val="left"/>
              <w:outlineLvl w:val="0"/>
              <w:rPr>
                <w:rFonts w:cs="Times New Roman"/>
              </w:rPr>
            </w:pPr>
          </w:p>
        </w:tc>
        <w:tc>
          <w:tcPr>
            <w:tcW w:w="855" w:type="dxa"/>
            <w:vMerge w:val="continue"/>
            <w:vAlign w:val="center"/>
          </w:tcPr>
          <w:p>
            <w:pPr>
              <w:spacing w:line="300" w:lineRule="exact"/>
              <w:jc w:val="left"/>
              <w:outlineLvl w:val="0"/>
              <w:rPr>
                <w:rFonts w:cs="Times New Roman"/>
              </w:rPr>
            </w:pPr>
          </w:p>
        </w:tc>
        <w:tc>
          <w:tcPr>
            <w:tcW w:w="1524" w:type="dxa"/>
            <w:vMerge w:val="continue"/>
            <w:vAlign w:val="center"/>
          </w:tcPr>
          <w:p>
            <w:pPr>
              <w:spacing w:line="300" w:lineRule="exact"/>
              <w:jc w:val="left"/>
              <w:outlineLvl w:val="0"/>
              <w:rPr>
                <w:rFonts w:cs="Times New Roman"/>
              </w:rPr>
            </w:pPr>
          </w:p>
        </w:tc>
        <w:tc>
          <w:tcPr>
            <w:tcW w:w="643" w:type="dxa"/>
            <w:vMerge w:val="continue"/>
            <w:vAlign w:val="center"/>
          </w:tcPr>
          <w:p>
            <w:pPr>
              <w:spacing w:line="300" w:lineRule="exact"/>
              <w:jc w:val="left"/>
              <w:outlineLvl w:val="0"/>
              <w:rPr>
                <w:rFonts w:cs="Times New Roman"/>
              </w:rPr>
            </w:pPr>
          </w:p>
        </w:tc>
        <w:tc>
          <w:tcPr>
            <w:tcW w:w="859" w:type="dxa"/>
            <w:vMerge w:val="continue"/>
            <w:vAlign w:val="center"/>
          </w:tcPr>
          <w:p>
            <w:pPr>
              <w:spacing w:line="300" w:lineRule="exact"/>
              <w:jc w:val="left"/>
              <w:outlineLvl w:val="0"/>
              <w:rPr>
                <w:rFonts w:cs="Times New Roman"/>
              </w:rPr>
            </w:pPr>
          </w:p>
        </w:tc>
        <w:tc>
          <w:tcPr>
            <w:tcW w:w="976" w:type="dxa"/>
            <w:vMerge w:val="continue"/>
            <w:vAlign w:val="center"/>
          </w:tcPr>
          <w:p>
            <w:pPr>
              <w:spacing w:line="300" w:lineRule="exact"/>
              <w:jc w:val="left"/>
              <w:outlineLvl w:val="0"/>
              <w:rPr>
                <w:rFonts w:cs="Times New Roman"/>
              </w:rPr>
            </w:pPr>
          </w:p>
        </w:tc>
        <w:tc>
          <w:tcPr>
            <w:tcW w:w="976" w:type="dxa"/>
            <w:vMerge w:val="continue"/>
            <w:vAlign w:val="center"/>
          </w:tcPr>
          <w:p>
            <w:pPr>
              <w:spacing w:line="300" w:lineRule="exact"/>
              <w:jc w:val="left"/>
              <w:outlineLvl w:val="0"/>
              <w:rPr>
                <w:rFonts w:cs="Times New Roman"/>
              </w:rPr>
            </w:pPr>
          </w:p>
        </w:tc>
        <w:tc>
          <w:tcPr>
            <w:tcW w:w="9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9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9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84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84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804"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980" w:type="dxa"/>
            <w:vAlign w:val="center"/>
          </w:tcPr>
          <w:p>
            <w:pPr>
              <w:spacing w:line="300" w:lineRule="exact"/>
              <w:jc w:val="right"/>
              <w:rPr>
                <w:rFonts w:ascii="方正书宋_GBK" w:eastAsia="方正书宋_GBK" w:cs="Times New Roman"/>
                <w:b/>
                <w:bCs/>
              </w:rPr>
            </w:pPr>
          </w:p>
        </w:tc>
        <w:tc>
          <w:tcPr>
            <w:tcW w:w="855" w:type="dxa"/>
            <w:vAlign w:val="center"/>
          </w:tcPr>
          <w:p>
            <w:pPr>
              <w:spacing w:line="300" w:lineRule="exact"/>
              <w:jc w:val="left"/>
              <w:rPr>
                <w:rFonts w:ascii="方正书宋_GBK" w:eastAsia="方正书宋_GBK" w:cs="Times New Roman"/>
                <w:b/>
                <w:bCs/>
              </w:rPr>
            </w:pPr>
          </w:p>
        </w:tc>
        <w:tc>
          <w:tcPr>
            <w:tcW w:w="1524" w:type="dxa"/>
            <w:vAlign w:val="center"/>
          </w:tcPr>
          <w:p>
            <w:pPr>
              <w:spacing w:line="300" w:lineRule="exact"/>
              <w:jc w:val="left"/>
              <w:rPr>
                <w:rFonts w:ascii="方正书宋_GBK" w:eastAsia="方正书宋_GBK" w:cs="Times New Roman"/>
                <w:b/>
                <w:bCs/>
              </w:rPr>
            </w:pPr>
          </w:p>
        </w:tc>
        <w:tc>
          <w:tcPr>
            <w:tcW w:w="643" w:type="dxa"/>
            <w:vAlign w:val="center"/>
          </w:tcPr>
          <w:p>
            <w:pPr>
              <w:spacing w:line="300" w:lineRule="exact"/>
              <w:jc w:val="left"/>
              <w:rPr>
                <w:rFonts w:ascii="方正书宋_GBK" w:eastAsia="方正书宋_GBK" w:cs="Times New Roman"/>
                <w:b/>
                <w:bCs/>
              </w:rPr>
            </w:pPr>
          </w:p>
        </w:tc>
        <w:tc>
          <w:tcPr>
            <w:tcW w:w="859" w:type="dxa"/>
            <w:vAlign w:val="center"/>
          </w:tcPr>
          <w:p>
            <w:pPr>
              <w:spacing w:line="300" w:lineRule="exact"/>
              <w:jc w:val="right"/>
              <w:rPr>
                <w:rFonts w:ascii="方正书宋_GBK" w:eastAsia="方正书宋_GBK" w:cs="Times New Roman"/>
                <w:b/>
                <w:bCs/>
              </w:rPr>
            </w:pPr>
          </w:p>
        </w:tc>
        <w:tc>
          <w:tcPr>
            <w:tcW w:w="976" w:type="dxa"/>
            <w:vAlign w:val="center"/>
          </w:tcPr>
          <w:p>
            <w:pPr>
              <w:spacing w:line="300" w:lineRule="exact"/>
              <w:jc w:val="right"/>
              <w:rPr>
                <w:rFonts w:ascii="方正书宋_GBK" w:eastAsia="方正书宋_GBK" w:cs="Times New Roman"/>
                <w:b/>
                <w:bCs/>
              </w:rPr>
            </w:pP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8614.59</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8614.59</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2784.80</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5829.79</w:t>
            </w:r>
          </w:p>
        </w:tc>
        <w:tc>
          <w:tcPr>
            <w:tcW w:w="847" w:type="dxa"/>
            <w:vAlign w:val="center"/>
          </w:tcPr>
          <w:p>
            <w:pPr>
              <w:spacing w:line="300" w:lineRule="exact"/>
              <w:jc w:val="right"/>
              <w:rPr>
                <w:rFonts w:ascii="方正书宋_GBK" w:eastAsia="方正书宋_GBK" w:cs="方正书宋_GBK"/>
                <w:b/>
                <w:bCs/>
              </w:rPr>
            </w:pPr>
          </w:p>
        </w:tc>
        <w:tc>
          <w:tcPr>
            <w:tcW w:w="847" w:type="dxa"/>
            <w:vAlign w:val="center"/>
          </w:tcPr>
          <w:p>
            <w:pPr>
              <w:spacing w:line="300" w:lineRule="exact"/>
              <w:jc w:val="right"/>
              <w:rPr>
                <w:rFonts w:ascii="方正书宋_GBK" w:eastAsia="方正书宋_GBK" w:cs="方正书宋_GBK"/>
                <w:b/>
                <w:bCs/>
              </w:rPr>
            </w:pPr>
          </w:p>
        </w:tc>
        <w:tc>
          <w:tcPr>
            <w:tcW w:w="804"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霸州市国土资源局小计</w:t>
            </w:r>
          </w:p>
        </w:tc>
        <w:tc>
          <w:tcPr>
            <w:tcW w:w="980" w:type="dxa"/>
            <w:vAlign w:val="center"/>
          </w:tcPr>
          <w:p>
            <w:pPr>
              <w:spacing w:line="300" w:lineRule="exact"/>
              <w:jc w:val="right"/>
              <w:rPr>
                <w:rFonts w:ascii="方正书宋_GBK" w:eastAsia="方正书宋_GBK" w:cs="Times New Roman"/>
                <w:b/>
                <w:bCs/>
              </w:rPr>
            </w:pPr>
          </w:p>
        </w:tc>
        <w:tc>
          <w:tcPr>
            <w:tcW w:w="855" w:type="dxa"/>
            <w:vAlign w:val="center"/>
          </w:tcPr>
          <w:p>
            <w:pPr>
              <w:spacing w:line="300" w:lineRule="exact"/>
              <w:jc w:val="left"/>
              <w:rPr>
                <w:rFonts w:ascii="方正书宋_GBK" w:eastAsia="方正书宋_GBK" w:cs="Times New Roman"/>
                <w:b/>
                <w:bCs/>
              </w:rPr>
            </w:pPr>
          </w:p>
        </w:tc>
        <w:tc>
          <w:tcPr>
            <w:tcW w:w="1524" w:type="dxa"/>
            <w:vAlign w:val="center"/>
          </w:tcPr>
          <w:p>
            <w:pPr>
              <w:spacing w:line="300" w:lineRule="exact"/>
              <w:jc w:val="left"/>
              <w:rPr>
                <w:rFonts w:ascii="方正书宋_GBK" w:eastAsia="方正书宋_GBK" w:cs="Times New Roman"/>
                <w:b/>
                <w:bCs/>
              </w:rPr>
            </w:pPr>
          </w:p>
        </w:tc>
        <w:tc>
          <w:tcPr>
            <w:tcW w:w="643" w:type="dxa"/>
            <w:vAlign w:val="center"/>
          </w:tcPr>
          <w:p>
            <w:pPr>
              <w:spacing w:line="300" w:lineRule="exact"/>
              <w:jc w:val="left"/>
              <w:rPr>
                <w:rFonts w:ascii="方正书宋_GBK" w:eastAsia="方正书宋_GBK" w:cs="Times New Roman"/>
                <w:b/>
                <w:bCs/>
              </w:rPr>
            </w:pPr>
          </w:p>
        </w:tc>
        <w:tc>
          <w:tcPr>
            <w:tcW w:w="859" w:type="dxa"/>
            <w:vAlign w:val="center"/>
          </w:tcPr>
          <w:p>
            <w:pPr>
              <w:spacing w:line="300" w:lineRule="exact"/>
              <w:jc w:val="right"/>
              <w:rPr>
                <w:rFonts w:ascii="方正书宋_GBK" w:eastAsia="方正书宋_GBK" w:cs="Times New Roman"/>
                <w:b/>
                <w:bCs/>
              </w:rPr>
            </w:pPr>
          </w:p>
        </w:tc>
        <w:tc>
          <w:tcPr>
            <w:tcW w:w="976" w:type="dxa"/>
            <w:vAlign w:val="center"/>
          </w:tcPr>
          <w:p>
            <w:pPr>
              <w:spacing w:line="300" w:lineRule="exact"/>
              <w:jc w:val="right"/>
              <w:rPr>
                <w:rFonts w:ascii="方正书宋_GBK" w:eastAsia="方正书宋_GBK" w:cs="Times New Roman"/>
                <w:b/>
                <w:bCs/>
              </w:rPr>
            </w:pP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8614.59</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8614.59</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2784.80</w:t>
            </w:r>
          </w:p>
        </w:tc>
        <w:tc>
          <w:tcPr>
            <w:tcW w:w="976"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5829.79</w:t>
            </w:r>
          </w:p>
        </w:tc>
        <w:tc>
          <w:tcPr>
            <w:tcW w:w="847" w:type="dxa"/>
            <w:vAlign w:val="center"/>
          </w:tcPr>
          <w:p>
            <w:pPr>
              <w:spacing w:line="300" w:lineRule="exact"/>
              <w:jc w:val="right"/>
              <w:rPr>
                <w:rFonts w:ascii="方正书宋_GBK" w:eastAsia="方正书宋_GBK" w:cs="方正书宋_GBK"/>
                <w:b/>
                <w:bCs/>
              </w:rPr>
            </w:pPr>
          </w:p>
        </w:tc>
        <w:tc>
          <w:tcPr>
            <w:tcW w:w="847" w:type="dxa"/>
            <w:vAlign w:val="center"/>
          </w:tcPr>
          <w:p>
            <w:pPr>
              <w:spacing w:line="300" w:lineRule="exact"/>
              <w:jc w:val="right"/>
              <w:rPr>
                <w:rFonts w:ascii="方正书宋_GBK" w:eastAsia="方正书宋_GBK" w:cs="方正书宋_GBK"/>
                <w:b/>
                <w:bCs/>
              </w:rPr>
            </w:pPr>
          </w:p>
        </w:tc>
        <w:tc>
          <w:tcPr>
            <w:tcW w:w="804"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年土地评估、测绘费</w:t>
            </w:r>
          </w:p>
        </w:tc>
        <w:tc>
          <w:tcPr>
            <w:tcW w:w="980" w:type="dxa"/>
            <w:vAlign w:val="center"/>
          </w:tcPr>
          <w:p>
            <w:pPr>
              <w:spacing w:line="300" w:lineRule="exact"/>
              <w:jc w:val="right"/>
              <w:rPr>
                <w:rFonts w:ascii="方正书宋_GBK" w:eastAsia="方正书宋_GBK" w:cs="Times New Roman"/>
              </w:rPr>
            </w:pPr>
            <w:r>
              <w:rPr>
                <w:rFonts w:ascii="方正书宋_GBK" w:eastAsia="方正书宋_GBK" w:cs="方正书宋_GBK"/>
              </w:rPr>
              <w:t>700.00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Times New Roman"/>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Times New Roman"/>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Times New Roman"/>
              </w:rPr>
            </w:pPr>
            <w:r>
              <w:rPr>
                <w:rFonts w:ascii="方正书宋_GBK" w:eastAsia="方正书宋_GBK" w:cs="方正书宋_GBK"/>
              </w:rPr>
              <w:t>700.00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700.00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700.00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cs="方正书宋_GBK"/>
              </w:rPr>
              <w:t>2017</w:t>
            </w:r>
            <w:r>
              <w:rPr>
                <w:rFonts w:hint="eastAsia" w:ascii="方正书宋_GBK" w:eastAsia="方正书宋_GBK" w:cs="方正书宋_GBK"/>
              </w:rPr>
              <w:t>年农村集体土地使用权房产调查项目（农村）</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330.00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农村集体土地使用权房产调查项目（城镇）</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房地一体调查监理技术服务经费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城市土地集约利用更新评价工作</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8.09</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8.09</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8.09</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8.09</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8.09</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编制城镇低效用地再开发专项规划</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年开发区土地集约利用初始评价工作</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公共服务项目用地基准地价编制</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11.00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11.00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11.00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cs="方正书宋_GBK"/>
              </w:rPr>
              <w:t>2018</w:t>
            </w:r>
            <w:r>
              <w:rPr>
                <w:rFonts w:hint="eastAsia" w:ascii="方正书宋_GBK" w:eastAsia="方正书宋_GBK" w:cs="方正书宋_GBK"/>
              </w:rPr>
              <w:t>年度土地供地计划编制</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无人机低空遥感技术执法巡查项目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130.00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rPr>
              <w:t>“</w:t>
            </w:r>
            <w:r>
              <w:rPr>
                <w:rFonts w:hint="eastAsia" w:ascii="方正书宋_GBK" w:eastAsia="方正书宋_GBK" w:cs="方正书宋_GBK"/>
              </w:rPr>
              <w:t>三权调查</w:t>
            </w:r>
            <w:r>
              <w:rPr>
                <w:rFonts w:ascii="方正书宋_GBK" w:eastAsia="方正书宋_GBK"/>
              </w:rPr>
              <w:t>”</w:t>
            </w:r>
            <w:r>
              <w:rPr>
                <w:rFonts w:hint="eastAsia" w:ascii="方正书宋_GBK" w:eastAsia="方正书宋_GBK" w:cs="方正书宋_GBK"/>
              </w:rPr>
              <w:t>数据入库项目经费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全市界址坐标不详建设用地权籍调查项目经费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不动产证书、证明采购、卷宗整理服务采购项目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不动产登记数据共享交换区建设项目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59.85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59.85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59.85</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59.85</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55.00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房产登记档案数字化项目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91.00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91.00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91.00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91.00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91.00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信息化建设经费（信息）</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61.40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61.40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61.40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61.40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61.40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不动产登记局受理服务项目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72.00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72.00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72.00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关于提前下达</w:t>
            </w:r>
            <w:r>
              <w:rPr>
                <w:rFonts w:ascii="方正书宋_GBK" w:eastAsia="方正书宋_GBK" w:cs="方正书宋_GBK"/>
              </w:rPr>
              <w:t>2018</w:t>
            </w:r>
            <w:r>
              <w:rPr>
                <w:rFonts w:hint="eastAsia" w:ascii="方正书宋_GBK" w:eastAsia="方正书宋_GBK" w:cs="方正书宋_GBK"/>
              </w:rPr>
              <w:t>年基本农田建设专项资金的通知（冀财建</w:t>
            </w:r>
            <w:r>
              <w:rPr>
                <w:rFonts w:ascii="方正书宋_GBK" w:eastAsia="方正书宋_GBK" w:cs="方正书宋_GBK"/>
              </w:rPr>
              <w:t>[2017]365</w:t>
            </w:r>
            <w:r>
              <w:rPr>
                <w:rFonts w:hint="eastAsia" w:ascii="方正书宋_GBK" w:eastAsia="方正书宋_GBK" w:cs="方正书宋_GBK"/>
              </w:rPr>
              <w:t>号）</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1028.00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其他建筑工程</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B99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1028.00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1028.00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1028.00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1028.00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关于提前下达</w:t>
            </w:r>
            <w:r>
              <w:rPr>
                <w:rFonts w:ascii="方正书宋_GBK" w:eastAsia="方正书宋_GBK" w:cs="方正书宋_GBK"/>
              </w:rPr>
              <w:t>2018</w:t>
            </w:r>
            <w:r>
              <w:rPr>
                <w:rFonts w:hint="eastAsia" w:ascii="方正书宋_GBK" w:eastAsia="方正书宋_GBK" w:cs="方正书宋_GBK"/>
              </w:rPr>
              <w:t>年中央土地整治工作专项资金的通知（冀财建</w:t>
            </w:r>
            <w:r>
              <w:rPr>
                <w:rFonts w:ascii="方正书宋_GBK" w:eastAsia="方正书宋_GBK" w:cs="方正书宋_GBK"/>
              </w:rPr>
              <w:t>[2017]347</w:t>
            </w:r>
            <w:r>
              <w:rPr>
                <w:rFonts w:hint="eastAsia" w:ascii="方正书宋_GBK" w:eastAsia="方正书宋_GBK" w:cs="方正书宋_GBK"/>
              </w:rPr>
              <w:t>号</w:t>
            </w:r>
            <w:r>
              <w:rPr>
                <w:rFonts w:ascii="方正书宋_GBK" w:eastAsia="方正书宋_GBK" w:cs="方正书宋_GBK"/>
              </w:rPr>
              <w:t>)</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356.80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其他建筑工程</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B99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356.80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356.80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356.80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356.80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综合土地整治占补平衡项目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1300.00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其他建筑工程</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B99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1300.00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ascii="方正书宋_GBK" w:eastAsia="方正书宋_GBK" w:cs="方正书宋_GBK"/>
              </w:rPr>
              <w:t>2013-2015</w:t>
            </w:r>
            <w:r>
              <w:rPr>
                <w:rFonts w:hint="eastAsia" w:ascii="方正书宋_GBK" w:eastAsia="方正书宋_GBK" w:cs="方正书宋_GBK"/>
              </w:rPr>
              <w:t>年霸州市高标准基本农田建设项目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3000.00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其他建筑工程</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B99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3000.00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3000.00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不动产登记数据共享交换区建设项目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不动产登记数据共享交换区建设项目</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服务器</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A02010103</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4.15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4.15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4.15</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4.15</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120.00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60.00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30.00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7.50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多功能一体机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A020204</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扫描仪</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A0201060901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通用摄像机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A02091102</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0.80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照相机及器材</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A020205</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2.40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0.35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3.50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照相机及器材</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A020205</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0.10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复印机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生活用电器</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0.08</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0.08</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锅炉</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A020504</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4.50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445.96</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生活用电器</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照相机及器材</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A020205</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20.00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0.15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终端设备</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A020104</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0.30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5.40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5.40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多功能一体机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A020204</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2.00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0.05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拆违工作经费</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295.00</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复印机</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A020201</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0.45</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1.80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2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土地出让业务费支出</w:t>
            </w:r>
          </w:p>
        </w:tc>
        <w:tc>
          <w:tcPr>
            <w:tcW w:w="980" w:type="dxa"/>
            <w:vAlign w:val="center"/>
          </w:tcPr>
          <w:p>
            <w:pPr>
              <w:spacing w:line="300" w:lineRule="exact"/>
              <w:jc w:val="right"/>
              <w:rPr>
                <w:rFonts w:ascii="方正书宋_GBK" w:eastAsia="方正书宋_GBK" w:cs="方正书宋_GBK"/>
              </w:rPr>
            </w:pPr>
            <w:r>
              <w:rPr>
                <w:rFonts w:ascii="方正书宋_GBK" w:eastAsia="方正书宋_GBK" w:cs="方正书宋_GBK"/>
              </w:rPr>
              <w:t>6466.51</w:t>
            </w:r>
          </w:p>
        </w:tc>
        <w:tc>
          <w:tcPr>
            <w:tcW w:w="855"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52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643" w:type="dxa"/>
            <w:vAlign w:val="center"/>
          </w:tcPr>
          <w:p>
            <w:pPr>
              <w:spacing w:line="300" w:lineRule="exact"/>
              <w:jc w:val="left"/>
              <w:rPr>
                <w:rFonts w:ascii="方正书宋_GBK" w:eastAsia="方正书宋_GBK" w:cs="Times New Roman"/>
              </w:rPr>
            </w:pPr>
          </w:p>
        </w:tc>
        <w:tc>
          <w:tcPr>
            <w:tcW w:w="85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334.30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334.30</w:t>
            </w: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334.30</w:t>
            </w:r>
          </w:p>
        </w:tc>
        <w:tc>
          <w:tcPr>
            <w:tcW w:w="976" w:type="dxa"/>
            <w:vAlign w:val="center"/>
          </w:tcPr>
          <w:p>
            <w:pPr>
              <w:spacing w:line="300" w:lineRule="exact"/>
              <w:jc w:val="right"/>
              <w:rPr>
                <w:rFonts w:ascii="方正书宋_GBK" w:eastAsia="方正书宋_GBK" w:cs="方正书宋_GBK"/>
              </w:rPr>
            </w:pPr>
          </w:p>
        </w:tc>
        <w:tc>
          <w:tcPr>
            <w:tcW w:w="976" w:type="dxa"/>
            <w:vAlign w:val="center"/>
          </w:tcPr>
          <w:p>
            <w:pPr>
              <w:spacing w:line="300" w:lineRule="exact"/>
              <w:jc w:val="right"/>
              <w:rPr>
                <w:rFonts w:ascii="方正书宋_GBK" w:eastAsia="方正书宋_GBK" w:cs="方正书宋_GBK"/>
              </w:rPr>
            </w:pPr>
            <w:r>
              <w:rPr>
                <w:rFonts w:ascii="方正书宋_GBK" w:eastAsia="方正书宋_GBK" w:cs="方正书宋_GBK"/>
              </w:rPr>
              <w:t>334.30</w:t>
            </w:r>
          </w:p>
        </w:tc>
        <w:tc>
          <w:tcPr>
            <w:tcW w:w="847" w:type="dxa"/>
            <w:vAlign w:val="center"/>
          </w:tcPr>
          <w:p>
            <w:pPr>
              <w:spacing w:line="300" w:lineRule="exact"/>
              <w:jc w:val="right"/>
              <w:rPr>
                <w:rFonts w:ascii="方正书宋_GBK" w:eastAsia="方正书宋_GBK" w:cs="Times New Roman"/>
              </w:rPr>
            </w:pPr>
          </w:p>
        </w:tc>
        <w:tc>
          <w:tcPr>
            <w:tcW w:w="847" w:type="dxa"/>
            <w:vAlign w:val="center"/>
          </w:tcPr>
          <w:p>
            <w:pPr>
              <w:spacing w:line="300" w:lineRule="exact"/>
              <w:jc w:val="right"/>
              <w:rPr>
                <w:rFonts w:ascii="方正书宋_GBK" w:eastAsia="方正书宋_GBK" w:cs="Times New Roman"/>
              </w:rPr>
            </w:pPr>
          </w:p>
        </w:tc>
        <w:tc>
          <w:tcPr>
            <w:tcW w:w="804" w:type="dxa"/>
            <w:vAlign w:val="center"/>
          </w:tcPr>
          <w:p>
            <w:pPr>
              <w:spacing w:line="300" w:lineRule="exact"/>
              <w:jc w:val="right"/>
              <w:rPr>
                <w:rFonts w:ascii="方正书宋_GBK" w:eastAsia="方正书宋_GBK" w:cs="Times New Roman"/>
              </w:rPr>
            </w:pPr>
          </w:p>
        </w:tc>
      </w:tr>
    </w:tbl>
    <w:p>
      <w:pPr>
        <w:spacing w:line="300" w:lineRule="exact"/>
        <w:jc w:val="left"/>
        <w:outlineLvl w:val="0"/>
        <w:rPr>
          <w:rFonts w:cs="Times New Roman"/>
        </w:rPr>
        <w:sectPr>
          <w:pgSz w:w="16839" w:h="11907" w:orient="landscape"/>
          <w:pgMar w:top="1361" w:right="1020" w:bottom="1361" w:left="1020" w:header="851" w:footer="992" w:gutter="0"/>
          <w:cols w:space="425" w:num="1"/>
          <w:docGrid w:type="lines" w:linePitch="312" w:charSpace="0"/>
        </w:sectPr>
      </w:pPr>
    </w:p>
    <w:bookmarkEnd w:id="2"/>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firstLineChars="200"/>
        <w:rPr>
          <w:rFonts w:ascii="仿宋" w:hAnsi="仿宋" w:eastAsia="仿宋" w:cs="Times New Roman"/>
          <w:sz w:val="32"/>
          <w:szCs w:val="32"/>
        </w:rPr>
      </w:pPr>
      <w:r>
        <w:rPr>
          <w:rFonts w:hint="eastAsia" w:ascii="仿宋" w:hAnsi="仿宋" w:eastAsia="仿宋" w:cs="仿宋"/>
          <w:sz w:val="32"/>
          <w:szCs w:val="32"/>
        </w:rPr>
        <w:t>霸州市国土资源局（含所属单位）上年末固定资产金额为</w:t>
      </w:r>
      <w:r>
        <w:rPr>
          <w:rFonts w:ascii="仿宋" w:hAnsi="仿宋" w:eastAsia="仿宋" w:cs="仿宋"/>
          <w:sz w:val="32"/>
          <w:szCs w:val="32"/>
        </w:rPr>
        <w:t>6105.68</w:t>
      </w:r>
      <w:r>
        <w:rPr>
          <w:rFonts w:hint="eastAsia" w:ascii="仿宋" w:hAnsi="仿宋" w:eastAsia="仿宋" w:cs="仿宋"/>
          <w:sz w:val="32"/>
          <w:szCs w:val="32"/>
        </w:rPr>
        <w:t>万元，本年度我单位拟购置固定资产</w:t>
      </w:r>
      <w:r>
        <w:rPr>
          <w:rFonts w:hint="eastAsia" w:ascii="仿宋" w:hAnsi="仿宋" w:eastAsia="仿宋" w:cs="仿宋"/>
          <w:sz w:val="32"/>
          <w:szCs w:val="32"/>
          <w:lang w:val="en-US" w:eastAsia="zh-CN"/>
        </w:rPr>
        <w:t>120.15万元，</w:t>
      </w:r>
      <w:bookmarkStart w:id="4" w:name="_GoBack"/>
      <w:bookmarkEnd w:id="4"/>
      <w:r>
        <w:rPr>
          <w:rFonts w:hint="eastAsia" w:ascii="仿宋" w:hAnsi="仿宋" w:eastAsia="仿宋" w:cs="仿宋"/>
          <w:sz w:val="32"/>
          <w:szCs w:val="32"/>
        </w:rPr>
        <w:t>主要为计算机设备、打印设备等，已列入政府采购预算，详见政府采购预算表。</w:t>
      </w:r>
    </w:p>
    <w:p>
      <w:pPr>
        <w:ind w:firstLine="640" w:firstLineChars="200"/>
        <w:rPr>
          <w:rFonts w:ascii="仿宋_GB2312" w:hAnsi="黑体" w:eastAsia="仿宋_GB2312" w:cs="Times New Roman"/>
          <w:sz w:val="32"/>
          <w:szCs w:val="32"/>
        </w:rPr>
      </w:pPr>
    </w:p>
    <w:tbl>
      <w:tblPr>
        <w:tblStyle w:val="6"/>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13482" w:type="dxa"/>
            <w:gridSpan w:val="3"/>
            <w:tcBorders>
              <w:top w:val="nil"/>
              <w:left w:val="nil"/>
              <w:bottom w:val="nil"/>
              <w:right w:val="nil"/>
            </w:tcBorders>
            <w:noWrap/>
            <w:vAlign w:val="center"/>
          </w:tcPr>
          <w:p>
            <w:pPr>
              <w:widowControl/>
              <w:jc w:val="center"/>
              <w:rPr>
                <w:rFonts w:ascii="仿宋" w:hAnsi="仿宋" w:eastAsia="仿宋" w:cs="Times New Roman"/>
                <w:kern w:val="0"/>
                <w:sz w:val="22"/>
              </w:rPr>
            </w:pPr>
            <w:r>
              <w:rPr>
                <w:rFonts w:hint="eastAsia" w:ascii="仿宋" w:hAnsi="仿宋" w:eastAsia="仿宋" w:cs="仿宋"/>
                <w:b/>
                <w:bCs/>
                <w:kern w:val="0"/>
                <w:sz w:val="32"/>
                <w:szCs w:val="32"/>
              </w:rPr>
              <w:t>霸州市国土资源局固定资产占用情况表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仿宋" w:hAnsi="仿宋" w:eastAsia="仿宋" w:cs="Times New Roman"/>
                <w:kern w:val="0"/>
                <w:sz w:val="22"/>
              </w:rPr>
            </w:pPr>
            <w:r>
              <w:rPr>
                <w:rFonts w:hint="eastAsia" w:ascii="仿宋" w:hAnsi="仿宋" w:eastAsia="仿宋" w:cs="仿宋"/>
                <w:kern w:val="0"/>
                <w:sz w:val="22"/>
                <w:szCs w:val="22"/>
              </w:rPr>
              <w:t>编制部门：</w:t>
            </w:r>
            <w:r>
              <w:rPr>
                <w:rFonts w:ascii="仿宋" w:hAnsi="仿宋" w:eastAsia="仿宋" w:cs="仿宋"/>
                <w:kern w:val="0"/>
                <w:sz w:val="22"/>
                <w:szCs w:val="22"/>
              </w:rPr>
              <w:t>813</w:t>
            </w:r>
            <w:r>
              <w:rPr>
                <w:rFonts w:hint="eastAsia" w:ascii="仿宋" w:hAnsi="仿宋" w:eastAsia="仿宋" w:cs="仿宋"/>
                <w:kern w:val="0"/>
                <w:sz w:val="22"/>
                <w:szCs w:val="22"/>
              </w:rPr>
              <w:t>霸州市国土资源局</w:t>
            </w:r>
            <w:r>
              <w:rPr>
                <w:rFonts w:ascii="仿宋" w:hAnsi="仿宋" w:eastAsia="仿宋" w:cs="仿宋"/>
                <w:kern w:val="0"/>
                <w:sz w:val="22"/>
                <w:szCs w:val="22"/>
              </w:rPr>
              <w:t xml:space="preserve">  </w:t>
            </w:r>
          </w:p>
        </w:tc>
        <w:tc>
          <w:tcPr>
            <w:tcW w:w="5103" w:type="dxa"/>
            <w:tcBorders>
              <w:top w:val="nil"/>
              <w:left w:val="nil"/>
              <w:bottom w:val="nil"/>
              <w:right w:val="nil"/>
            </w:tcBorders>
            <w:noWrap/>
            <w:vAlign w:val="center"/>
          </w:tcPr>
          <w:p>
            <w:pPr>
              <w:widowControl/>
              <w:jc w:val="left"/>
              <w:rPr>
                <w:rFonts w:ascii="仿宋" w:hAnsi="仿宋" w:eastAsia="仿宋" w:cs="Times New Roman"/>
                <w:kern w:val="0"/>
                <w:sz w:val="22"/>
              </w:rPr>
            </w:pPr>
            <w:r>
              <w:rPr>
                <w:rFonts w:hint="eastAsia" w:ascii="仿宋" w:hAnsi="仿宋" w:eastAsia="仿宋" w:cs="仿宋"/>
                <w:kern w:val="0"/>
                <w:sz w:val="22"/>
                <w:szCs w:val="22"/>
              </w:rPr>
              <w:t>截止时间：</w:t>
            </w:r>
            <w:r>
              <w:rPr>
                <w:rFonts w:ascii="仿宋" w:hAnsi="仿宋" w:eastAsia="仿宋" w:cs="仿宋"/>
                <w:kern w:val="0"/>
                <w:sz w:val="22"/>
                <w:szCs w:val="22"/>
              </w:rPr>
              <w:t>2017</w:t>
            </w:r>
            <w:r>
              <w:rPr>
                <w:rFonts w:hint="eastAsia" w:ascii="仿宋" w:hAnsi="仿宋" w:eastAsia="仿宋" w:cs="仿宋"/>
                <w:kern w:val="0"/>
                <w:sz w:val="22"/>
                <w:szCs w:val="22"/>
              </w:rPr>
              <w:t>年</w:t>
            </w:r>
            <w:r>
              <w:rPr>
                <w:rFonts w:ascii="仿宋" w:hAnsi="仿宋" w:eastAsia="仿宋" w:cs="仿宋"/>
                <w:kern w:val="0"/>
                <w:sz w:val="22"/>
                <w:szCs w:val="22"/>
              </w:rPr>
              <w:t>12</w:t>
            </w:r>
            <w:r>
              <w:rPr>
                <w:rFonts w:hint="eastAsia" w:ascii="仿宋" w:hAnsi="仿宋" w:eastAsia="仿宋" w:cs="仿宋"/>
                <w:kern w:val="0"/>
                <w:sz w:val="22"/>
                <w:szCs w:val="22"/>
              </w:rPr>
              <w:t>月</w:t>
            </w:r>
            <w:r>
              <w:rPr>
                <w:rFonts w:ascii="仿宋" w:hAnsi="仿宋" w:eastAsia="仿宋" w:cs="仿宋"/>
                <w:kern w:val="0"/>
                <w:sz w:val="22"/>
                <w:szCs w:val="22"/>
              </w:rPr>
              <w:t>31</w:t>
            </w:r>
            <w:r>
              <w:rPr>
                <w:rFonts w:hint="eastAsia" w:ascii="仿宋" w:hAnsi="仿宋" w:eastAsia="仿宋" w:cs="仿宋"/>
                <w:kern w:val="0"/>
                <w:sz w:val="22"/>
                <w:szCs w:val="22"/>
              </w:rPr>
              <w:t>日</w:t>
            </w:r>
            <w:r>
              <w:rPr>
                <w:rFonts w:ascii="仿宋" w:hAnsi="仿宋" w:eastAsia="仿宋" w:cs="仿宋"/>
                <w:kern w:val="0"/>
                <w:sz w:val="22"/>
                <w:szCs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b/>
                <w:bCs/>
                <w:kern w:val="0"/>
                <w:sz w:val="22"/>
              </w:rPr>
            </w:pPr>
            <w:r>
              <w:rPr>
                <w:rFonts w:hint="eastAsia" w:ascii="仿宋" w:hAnsi="仿宋" w:eastAsia="仿宋" w:cs="仿宋"/>
                <w:b/>
                <w:bCs/>
                <w:kern w:val="0"/>
                <w:sz w:val="22"/>
                <w:szCs w:val="22"/>
              </w:rPr>
              <w:t>项</w:t>
            </w:r>
            <w:r>
              <w:rPr>
                <w:rFonts w:ascii="仿宋" w:hAnsi="仿宋" w:eastAsia="仿宋" w:cs="仿宋"/>
                <w:b/>
                <w:bCs/>
                <w:kern w:val="0"/>
                <w:sz w:val="22"/>
                <w:szCs w:val="22"/>
              </w:rPr>
              <w:t xml:space="preserve">   </w:t>
            </w:r>
            <w:r>
              <w:rPr>
                <w:rFonts w:hint="eastAsia" w:ascii="仿宋" w:hAnsi="仿宋" w:eastAsia="仿宋" w:cs="仿宋"/>
                <w:b/>
                <w:bCs/>
                <w:kern w:val="0"/>
                <w:sz w:val="22"/>
                <w:szCs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22"/>
              </w:rPr>
            </w:pPr>
            <w:r>
              <w:rPr>
                <w:rFonts w:hint="eastAsia" w:ascii="仿宋" w:hAnsi="仿宋" w:eastAsia="仿宋" w:cs="仿宋"/>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22"/>
              </w:rPr>
            </w:pPr>
            <w:r>
              <w:rPr>
                <w:rFonts w:hint="eastAsia" w:ascii="仿宋" w:hAnsi="仿宋" w:eastAsia="仿宋" w:cs="仿宋"/>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hint="eastAsia" w:ascii="仿宋" w:hAnsi="仿宋" w:eastAsia="仿宋" w:cs="仿宋"/>
                <w:kern w:val="0"/>
                <w:sz w:val="22"/>
                <w:szCs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6105.68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22"/>
              </w:rPr>
            </w:pPr>
            <w:r>
              <w:rPr>
                <w:rFonts w:ascii="仿宋" w:hAnsi="仿宋" w:eastAsia="仿宋" w:cs="仿宋"/>
                <w:kern w:val="0"/>
                <w:sz w:val="22"/>
                <w:szCs w:val="22"/>
              </w:rPr>
              <w:t>1</w:t>
            </w:r>
            <w:r>
              <w:rPr>
                <w:rFonts w:hint="eastAsia" w:ascii="仿宋" w:hAnsi="仿宋" w:eastAsia="仿宋" w:cs="仿宋"/>
                <w:kern w:val="0"/>
                <w:sz w:val="22"/>
                <w:szCs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10945.04</w:t>
            </w: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4766.26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22"/>
              </w:rPr>
            </w:pPr>
            <w:r>
              <w:rPr>
                <w:rFonts w:ascii="仿宋" w:hAnsi="仿宋" w:eastAsia="仿宋" w:cs="仿宋"/>
                <w:kern w:val="0"/>
                <w:sz w:val="22"/>
                <w:szCs w:val="22"/>
              </w:rPr>
              <w:t xml:space="preserve">   </w:t>
            </w:r>
            <w:r>
              <w:rPr>
                <w:rFonts w:hint="eastAsia" w:ascii="仿宋" w:hAnsi="仿宋" w:eastAsia="仿宋" w:cs="仿宋"/>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10397</w:t>
            </w: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4716.15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22"/>
              </w:rPr>
            </w:pPr>
            <w:r>
              <w:rPr>
                <w:rFonts w:ascii="仿宋" w:hAnsi="仿宋" w:eastAsia="仿宋" w:cs="仿宋"/>
                <w:kern w:val="0"/>
                <w:sz w:val="22"/>
                <w:szCs w:val="22"/>
              </w:rPr>
              <w:t>2</w:t>
            </w:r>
            <w:r>
              <w:rPr>
                <w:rFonts w:hint="eastAsia" w:ascii="仿宋" w:hAnsi="仿宋" w:eastAsia="仿宋" w:cs="仿宋"/>
                <w:kern w:val="0"/>
                <w:sz w:val="22"/>
                <w:szCs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25</w:t>
            </w: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614.92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r>
              <w:rPr>
                <w:rFonts w:ascii="仿宋" w:hAnsi="仿宋" w:eastAsia="仿宋" w:cs="仿宋"/>
                <w:kern w:val="0"/>
                <w:sz w:val="22"/>
                <w:szCs w:val="22"/>
              </w:rPr>
              <w:t>3</w:t>
            </w:r>
            <w:r>
              <w:rPr>
                <w:rFonts w:hint="eastAsia" w:ascii="仿宋" w:hAnsi="仿宋" w:eastAsia="仿宋" w:cs="仿宋"/>
                <w:kern w:val="0"/>
                <w:sz w:val="22"/>
                <w:szCs w:val="22"/>
              </w:rPr>
              <w:t>、单价在</w:t>
            </w:r>
            <w:r>
              <w:rPr>
                <w:rFonts w:ascii="仿宋" w:hAnsi="仿宋" w:eastAsia="仿宋" w:cs="仿宋"/>
                <w:kern w:val="0"/>
                <w:sz w:val="22"/>
                <w:szCs w:val="22"/>
              </w:rPr>
              <w:t>50</w:t>
            </w:r>
            <w:r>
              <w:rPr>
                <w:rFonts w:hint="eastAsia" w:ascii="仿宋" w:hAnsi="仿宋" w:eastAsia="仿宋" w:cs="仿宋"/>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22"/>
              </w:rPr>
            </w:pPr>
            <w:r>
              <w:rPr>
                <w:rFonts w:ascii="仿宋" w:hAnsi="仿宋" w:eastAsia="仿宋" w:cs="仿宋"/>
                <w:kern w:val="0"/>
                <w:sz w:val="22"/>
                <w:szCs w:val="22"/>
              </w:rPr>
              <w:t>4</w:t>
            </w:r>
            <w:r>
              <w:rPr>
                <w:rFonts w:hint="eastAsia" w:ascii="仿宋" w:hAnsi="仿宋" w:eastAsia="仿宋" w:cs="仿宋"/>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22"/>
              </w:rPr>
            </w:pPr>
            <w:r>
              <w:rPr>
                <w:rFonts w:ascii="仿宋" w:hAnsi="仿宋" w:eastAsia="仿宋" w:cs="仿宋"/>
                <w:kern w:val="0"/>
                <w:sz w:val="22"/>
                <w:szCs w:val="22"/>
              </w:rPr>
              <w:t>724.50</w:t>
            </w:r>
          </w:p>
        </w:tc>
      </w:tr>
    </w:tbl>
    <w:p>
      <w:pPr>
        <w:rPr>
          <w:rFonts w:ascii="仿宋_GB2312" w:hAnsi="黑体" w:eastAsia="仿宋_GB2312" w:cs="Times New Roman"/>
          <w:color w:val="FF0000"/>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pStyle w:val="12"/>
        <w:rPr>
          <w:rFonts w:ascii="仿宋_GB2312" w:eastAsia="仿宋_GB2312"/>
          <w:b/>
          <w:bCs/>
          <w:sz w:val="32"/>
          <w:szCs w:val="32"/>
        </w:rPr>
      </w:pPr>
      <w:r>
        <w:rPr>
          <w:b/>
          <w:bCs/>
          <w:sz w:val="32"/>
          <w:szCs w:val="32"/>
        </w:rPr>
        <w:t xml:space="preserve">    </w:t>
      </w:r>
      <w:r>
        <w:rPr>
          <w:rFonts w:ascii="仿宋_GB2312" w:eastAsia="仿宋_GB2312" w:cs="仿宋_GB2312"/>
          <w:b/>
          <w:bCs/>
          <w:sz w:val="32"/>
          <w:szCs w:val="32"/>
        </w:rPr>
        <w:t>1</w:t>
      </w:r>
      <w:r>
        <w:rPr>
          <w:rFonts w:hint="eastAsia" w:ascii="仿宋_GB2312" w:hAnsi="FZFangSong-Z02" w:eastAsia="仿宋_GB2312" w:cs="仿宋_GB2312"/>
          <w:sz w:val="32"/>
          <w:szCs w:val="32"/>
        </w:rPr>
        <w:t>、一般公共预算拨款收入：指市级财政当年拨付的资金。</w:t>
      </w:r>
    </w:p>
    <w:p>
      <w:pPr>
        <w:pStyle w:val="12"/>
        <w:rPr>
          <w:rFonts w:ascii="仿宋_GB2312" w:hAnsi="FZFangSong-Z02" w:eastAsia="仿宋_GB2312"/>
          <w:sz w:val="32"/>
          <w:szCs w:val="32"/>
        </w:rPr>
      </w:pPr>
      <w:r>
        <w:rPr>
          <w:rFonts w:ascii="仿宋_GB2312" w:eastAsia="仿宋_GB2312" w:cs="仿宋_GB2312"/>
          <w:b/>
          <w:bCs/>
          <w:sz w:val="32"/>
          <w:szCs w:val="32"/>
        </w:rPr>
        <w:t xml:space="preserve">    2</w:t>
      </w:r>
      <w:r>
        <w:rPr>
          <w:rFonts w:hint="eastAsia" w:ascii="仿宋_GB2312" w:hAnsi="FZFangSong-Z02" w:eastAsia="仿宋_GB2312" w:cs="仿宋_GB2312"/>
          <w:sz w:val="32"/>
          <w:szCs w:val="32"/>
        </w:rPr>
        <w:t>、事业收入：指事业单位开展专业业务活动及辅助活动所取得的收入。</w:t>
      </w:r>
    </w:p>
    <w:p>
      <w:pPr>
        <w:pStyle w:val="12"/>
        <w:rPr>
          <w:rFonts w:ascii="仿宋_GB2312" w:hAnsi="FZFangSong-Z02" w:eastAsia="仿宋_GB2312"/>
          <w:sz w:val="32"/>
          <w:szCs w:val="32"/>
        </w:rPr>
      </w:pPr>
      <w:r>
        <w:rPr>
          <w:rFonts w:ascii="仿宋_GB2312" w:eastAsia="仿宋_GB2312" w:cs="仿宋_GB2312"/>
          <w:b/>
          <w:bCs/>
          <w:sz w:val="32"/>
          <w:szCs w:val="32"/>
        </w:rPr>
        <w:t xml:space="preserve">    3</w:t>
      </w:r>
      <w:r>
        <w:rPr>
          <w:rFonts w:hint="eastAsia" w:ascii="仿宋_GB2312" w:hAnsi="FZFangSong-Z02" w:eastAsia="仿宋_GB2312" w:cs="仿宋_GB2312"/>
          <w:sz w:val="32"/>
          <w:szCs w:val="32"/>
        </w:rPr>
        <w:t>、其他收入：指除上述</w:t>
      </w:r>
      <w:r>
        <w:rPr>
          <w:rFonts w:hint="eastAsia" w:ascii="仿宋_GB2312" w:eastAsia="仿宋_GB2312" w:cs="仿宋_GB2312"/>
          <w:sz w:val="32"/>
          <w:szCs w:val="32"/>
        </w:rPr>
        <w:t>“</w:t>
      </w:r>
      <w:r>
        <w:rPr>
          <w:rFonts w:hint="eastAsia" w:ascii="仿宋_GB2312" w:hAnsi="FZFangSong-Z02" w:eastAsia="仿宋_GB2312" w:cs="仿宋_GB2312"/>
          <w:sz w:val="32"/>
          <w:szCs w:val="32"/>
        </w:rPr>
        <w:t>财政拨款收入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w:t>
      </w:r>
      <w:r>
        <w:rPr>
          <w:rFonts w:hint="eastAsia" w:ascii="仿宋_GB2312" w:eastAsia="仿宋_GB2312" w:cs="仿宋_GB2312"/>
          <w:sz w:val="32"/>
          <w:szCs w:val="32"/>
        </w:rPr>
        <w:t>“</w:t>
      </w:r>
      <w:r>
        <w:rPr>
          <w:rFonts w:hint="eastAsia" w:ascii="仿宋_GB2312" w:hAnsi="FZFangSong-Z02" w:eastAsia="仿宋_GB2312" w:cs="仿宋_GB2312"/>
          <w:sz w:val="32"/>
          <w:szCs w:val="32"/>
        </w:rPr>
        <w:t>事业收入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等以外的收入。主要是按规定动用的租房收入、存款利息收入等。</w:t>
      </w:r>
    </w:p>
    <w:p>
      <w:pPr>
        <w:pStyle w:val="12"/>
        <w:rPr>
          <w:rFonts w:ascii="仿宋_GB2312" w:hAnsi="FZFangSong-Z02" w:eastAsia="仿宋_GB2312"/>
          <w:sz w:val="32"/>
          <w:szCs w:val="32"/>
        </w:rPr>
      </w:pPr>
      <w:r>
        <w:rPr>
          <w:rFonts w:ascii="仿宋_GB2312" w:eastAsia="仿宋_GB2312" w:cs="仿宋_GB2312"/>
          <w:b/>
          <w:bCs/>
          <w:sz w:val="32"/>
          <w:szCs w:val="32"/>
        </w:rPr>
        <w:t xml:space="preserve">    4</w:t>
      </w:r>
      <w:r>
        <w:rPr>
          <w:rFonts w:hint="eastAsia" w:ascii="仿宋_GB2312" w:hAnsi="FZFangSong-Z02" w:eastAsia="仿宋_GB2312" w:cs="仿宋_GB2312"/>
          <w:sz w:val="32"/>
          <w:szCs w:val="32"/>
        </w:rPr>
        <w:t>、基本支出：</w:t>
      </w:r>
      <w:r>
        <w:rPr>
          <w:rFonts w:hint="eastAsia" w:ascii="仿宋_GB2312" w:eastAsia="仿宋_GB2312" w:cs="仿宋_GB2312"/>
          <w:sz w:val="32"/>
          <w:szCs w:val="32"/>
        </w:rPr>
        <w:t>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仿宋_GB2312"/>
          <w:b/>
          <w:bCs/>
          <w:sz w:val="32"/>
          <w:szCs w:val="32"/>
        </w:rPr>
        <w:t xml:space="preserve">    5</w:t>
      </w:r>
      <w:r>
        <w:rPr>
          <w:rFonts w:hint="eastAsia" w:ascii="仿宋_GB2312" w:hAnsi="FZFangSong-Z02" w:eastAsia="仿宋_GB2312" w:cs="仿宋_GB2312"/>
          <w:sz w:val="32"/>
          <w:szCs w:val="32"/>
        </w:rPr>
        <w:t>、项目支出：</w:t>
      </w:r>
      <w:r>
        <w:rPr>
          <w:rFonts w:hint="eastAsia" w:ascii="仿宋_GB2312" w:eastAsia="仿宋_GB2312" w:cs="仿宋_GB2312"/>
          <w:sz w:val="32"/>
          <w:szCs w:val="32"/>
        </w:rPr>
        <w:t>指在基本支出之外为完成特定行政任务和事业发展目标所发生的支出。</w:t>
      </w:r>
    </w:p>
    <w:p>
      <w:pPr>
        <w:pStyle w:val="12"/>
        <w:rPr>
          <w:rFonts w:ascii="仿宋_GB2312" w:eastAsia="仿宋_GB2312"/>
          <w:sz w:val="32"/>
          <w:szCs w:val="32"/>
        </w:rPr>
      </w:pPr>
      <w:r>
        <w:rPr>
          <w:rFonts w:ascii="仿宋_GB2312" w:eastAsia="仿宋_GB2312" w:cs="仿宋_GB2312"/>
          <w:b/>
          <w:bCs/>
          <w:sz w:val="32"/>
          <w:szCs w:val="32"/>
        </w:rPr>
        <w:t xml:space="preserve">    6</w:t>
      </w:r>
      <w:r>
        <w:rPr>
          <w:rFonts w:hint="eastAsia" w:ascii="仿宋_GB2312" w:hAnsi="FZFangSong-Z02" w:eastAsia="仿宋_GB2312" w:cs="仿宋_GB2312"/>
          <w:sz w:val="32"/>
          <w:szCs w:val="32"/>
        </w:rPr>
        <w:t>、上缴上级支出：</w:t>
      </w:r>
      <w:r>
        <w:rPr>
          <w:rFonts w:hint="eastAsia" w:ascii="仿宋_GB2312" w:eastAsia="仿宋_GB2312" w:cs="仿宋_GB2312"/>
          <w:sz w:val="32"/>
          <w:szCs w:val="32"/>
        </w:rPr>
        <w:t>指下级单位上缴上级的支出。</w:t>
      </w:r>
    </w:p>
    <w:p>
      <w:pPr>
        <w:pStyle w:val="12"/>
        <w:rPr>
          <w:rFonts w:ascii="仿宋_GB2312" w:hAnsi="FZFangSong-Z02" w:eastAsia="仿宋_GB2312"/>
          <w:sz w:val="32"/>
          <w:szCs w:val="32"/>
        </w:rPr>
      </w:pPr>
      <w:r>
        <w:rPr>
          <w:rFonts w:ascii="仿宋_GB2312" w:eastAsia="仿宋_GB2312" w:cs="仿宋_GB2312"/>
          <w:b/>
          <w:bCs/>
          <w:sz w:val="32"/>
          <w:szCs w:val="32"/>
        </w:rPr>
        <w:t xml:space="preserve">    7</w:t>
      </w:r>
      <w:r>
        <w:rPr>
          <w:rFonts w:hint="eastAsia" w:ascii="仿宋_GB2312" w:hAnsi="FZFangSong-Z02" w:eastAsia="仿宋_GB2312" w:cs="仿宋_GB2312"/>
          <w:sz w:val="32"/>
          <w:szCs w:val="32"/>
        </w:rPr>
        <w:t>、</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经费：纳入市级财政预算管理的</w:t>
      </w:r>
      <w:r>
        <w:rPr>
          <w:rFonts w:hint="eastAsia" w:ascii="仿宋_GB2312" w:eastAsia="仿宋_GB2312" w:cs="仿宋_GB2312"/>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sz w:val="32"/>
          <w:szCs w:val="32"/>
        </w:rPr>
        <w:t>”</w:t>
      </w:r>
      <w:r>
        <w:rPr>
          <w:rFonts w:hint="eastAsia" w:ascii="仿宋_GB2312" w:hAnsi="FZFangSong-Z02" w:eastAsia="仿宋_GB2312" w:cs="仿宋_GB231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Times New Roman"/>
          <w:sz w:val="32"/>
          <w:szCs w:val="32"/>
        </w:rPr>
      </w:pPr>
      <w:r>
        <w:rPr>
          <w:rFonts w:ascii="仿宋_GB2312" w:eastAsia="仿宋_GB2312" w:cs="仿宋_GB2312"/>
          <w:b/>
          <w:bCs/>
          <w:sz w:val="32"/>
          <w:szCs w:val="32"/>
        </w:rPr>
        <w:t xml:space="preserve">    8</w:t>
      </w:r>
      <w:r>
        <w:rPr>
          <w:rFonts w:hint="eastAsia" w:ascii="仿宋_GB2312" w:hAnsi="FZFangSong-Z02" w:eastAsia="仿宋_GB2312" w:cs="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s="仿宋_GB2312"/>
          <w:sz w:val="32"/>
          <w:szCs w:val="32"/>
        </w:rPr>
        <w:t>其他费用。</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九、其它需要说明的事项</w:t>
      </w:r>
    </w:p>
    <w:p>
      <w:pPr>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07B9"/>
    <w:rsid w:val="00024629"/>
    <w:rsid w:val="00026D5A"/>
    <w:rsid w:val="00033DDB"/>
    <w:rsid w:val="0003481E"/>
    <w:rsid w:val="00037AF6"/>
    <w:rsid w:val="00041109"/>
    <w:rsid w:val="00045A61"/>
    <w:rsid w:val="000518CF"/>
    <w:rsid w:val="00075D5F"/>
    <w:rsid w:val="0009664F"/>
    <w:rsid w:val="000B1045"/>
    <w:rsid w:val="000B2863"/>
    <w:rsid w:val="000C3A19"/>
    <w:rsid w:val="000D02EE"/>
    <w:rsid w:val="000D4981"/>
    <w:rsid w:val="000F390A"/>
    <w:rsid w:val="001001D9"/>
    <w:rsid w:val="00102BAC"/>
    <w:rsid w:val="00110475"/>
    <w:rsid w:val="00113260"/>
    <w:rsid w:val="001168EC"/>
    <w:rsid w:val="001245BB"/>
    <w:rsid w:val="00135CC9"/>
    <w:rsid w:val="0018479D"/>
    <w:rsid w:val="001B46B6"/>
    <w:rsid w:val="001D505B"/>
    <w:rsid w:val="002058C7"/>
    <w:rsid w:val="00207CAD"/>
    <w:rsid w:val="0022785D"/>
    <w:rsid w:val="002319CB"/>
    <w:rsid w:val="00241FD4"/>
    <w:rsid w:val="00245583"/>
    <w:rsid w:val="00251B12"/>
    <w:rsid w:val="002645FB"/>
    <w:rsid w:val="00265B8D"/>
    <w:rsid w:val="00271BC4"/>
    <w:rsid w:val="00296113"/>
    <w:rsid w:val="002A591B"/>
    <w:rsid w:val="002D1CC4"/>
    <w:rsid w:val="002D5D89"/>
    <w:rsid w:val="002F3E58"/>
    <w:rsid w:val="0030542C"/>
    <w:rsid w:val="00311B7A"/>
    <w:rsid w:val="00340857"/>
    <w:rsid w:val="00350E19"/>
    <w:rsid w:val="003A42AA"/>
    <w:rsid w:val="003A4525"/>
    <w:rsid w:val="003A6C4E"/>
    <w:rsid w:val="003B2F30"/>
    <w:rsid w:val="003B56AC"/>
    <w:rsid w:val="003D6E74"/>
    <w:rsid w:val="003E1A7F"/>
    <w:rsid w:val="003E7FC9"/>
    <w:rsid w:val="003F02CB"/>
    <w:rsid w:val="003F6ED1"/>
    <w:rsid w:val="004002D0"/>
    <w:rsid w:val="00412110"/>
    <w:rsid w:val="004415F3"/>
    <w:rsid w:val="00447984"/>
    <w:rsid w:val="00451871"/>
    <w:rsid w:val="00472923"/>
    <w:rsid w:val="004916B2"/>
    <w:rsid w:val="00492224"/>
    <w:rsid w:val="00494FEC"/>
    <w:rsid w:val="004A7785"/>
    <w:rsid w:val="004C6D35"/>
    <w:rsid w:val="004C7077"/>
    <w:rsid w:val="004E3066"/>
    <w:rsid w:val="004E74CD"/>
    <w:rsid w:val="00503846"/>
    <w:rsid w:val="00541842"/>
    <w:rsid w:val="0054582C"/>
    <w:rsid w:val="0054768F"/>
    <w:rsid w:val="00555AE6"/>
    <w:rsid w:val="005713E6"/>
    <w:rsid w:val="00573562"/>
    <w:rsid w:val="005862CC"/>
    <w:rsid w:val="005B6522"/>
    <w:rsid w:val="005C0C90"/>
    <w:rsid w:val="005D555C"/>
    <w:rsid w:val="005E1418"/>
    <w:rsid w:val="00600990"/>
    <w:rsid w:val="00614A29"/>
    <w:rsid w:val="00630487"/>
    <w:rsid w:val="006963BC"/>
    <w:rsid w:val="006F5ADC"/>
    <w:rsid w:val="00703FE4"/>
    <w:rsid w:val="00707328"/>
    <w:rsid w:val="0072472B"/>
    <w:rsid w:val="00741A6E"/>
    <w:rsid w:val="007437F6"/>
    <w:rsid w:val="00744023"/>
    <w:rsid w:val="0075393C"/>
    <w:rsid w:val="00755700"/>
    <w:rsid w:val="00776C08"/>
    <w:rsid w:val="00783541"/>
    <w:rsid w:val="007B4EE0"/>
    <w:rsid w:val="007C227A"/>
    <w:rsid w:val="007C5C36"/>
    <w:rsid w:val="007D1310"/>
    <w:rsid w:val="007E1DA8"/>
    <w:rsid w:val="007F6C26"/>
    <w:rsid w:val="00804214"/>
    <w:rsid w:val="0081572E"/>
    <w:rsid w:val="00820FD1"/>
    <w:rsid w:val="0082623C"/>
    <w:rsid w:val="008334AE"/>
    <w:rsid w:val="00836FED"/>
    <w:rsid w:val="00845CD2"/>
    <w:rsid w:val="008502D8"/>
    <w:rsid w:val="00852B0D"/>
    <w:rsid w:val="00877B03"/>
    <w:rsid w:val="00880C30"/>
    <w:rsid w:val="00881692"/>
    <w:rsid w:val="00884780"/>
    <w:rsid w:val="00884EC1"/>
    <w:rsid w:val="00895702"/>
    <w:rsid w:val="008A270F"/>
    <w:rsid w:val="008B3CC5"/>
    <w:rsid w:val="008B760B"/>
    <w:rsid w:val="008C2BAF"/>
    <w:rsid w:val="008D26FA"/>
    <w:rsid w:val="008E26DD"/>
    <w:rsid w:val="008E4261"/>
    <w:rsid w:val="008F4662"/>
    <w:rsid w:val="00900E1C"/>
    <w:rsid w:val="00902BAF"/>
    <w:rsid w:val="00905D08"/>
    <w:rsid w:val="00905F4C"/>
    <w:rsid w:val="00925753"/>
    <w:rsid w:val="00933DF7"/>
    <w:rsid w:val="0096104F"/>
    <w:rsid w:val="00966C5C"/>
    <w:rsid w:val="00973104"/>
    <w:rsid w:val="00986AED"/>
    <w:rsid w:val="009A2C60"/>
    <w:rsid w:val="009B1FC0"/>
    <w:rsid w:val="009B2255"/>
    <w:rsid w:val="009B4669"/>
    <w:rsid w:val="009C1D0F"/>
    <w:rsid w:val="009E2D26"/>
    <w:rsid w:val="009E5DD0"/>
    <w:rsid w:val="009F3A74"/>
    <w:rsid w:val="009F60FD"/>
    <w:rsid w:val="00A012A3"/>
    <w:rsid w:val="00A06A88"/>
    <w:rsid w:val="00A1266D"/>
    <w:rsid w:val="00A421CD"/>
    <w:rsid w:val="00A43B99"/>
    <w:rsid w:val="00A47B26"/>
    <w:rsid w:val="00A67A33"/>
    <w:rsid w:val="00A72D2E"/>
    <w:rsid w:val="00A911E7"/>
    <w:rsid w:val="00A939D9"/>
    <w:rsid w:val="00AD1B22"/>
    <w:rsid w:val="00AE44BD"/>
    <w:rsid w:val="00B20712"/>
    <w:rsid w:val="00B2225F"/>
    <w:rsid w:val="00B42F3B"/>
    <w:rsid w:val="00B43238"/>
    <w:rsid w:val="00B50A74"/>
    <w:rsid w:val="00B6626F"/>
    <w:rsid w:val="00B66D11"/>
    <w:rsid w:val="00B71A85"/>
    <w:rsid w:val="00B7360E"/>
    <w:rsid w:val="00B75216"/>
    <w:rsid w:val="00B90D4B"/>
    <w:rsid w:val="00B91D52"/>
    <w:rsid w:val="00B92235"/>
    <w:rsid w:val="00B9320D"/>
    <w:rsid w:val="00BA1ACD"/>
    <w:rsid w:val="00BB5F08"/>
    <w:rsid w:val="00BC05D5"/>
    <w:rsid w:val="00BC1CEF"/>
    <w:rsid w:val="00BD6E05"/>
    <w:rsid w:val="00BF3BE7"/>
    <w:rsid w:val="00C1637C"/>
    <w:rsid w:val="00C22B98"/>
    <w:rsid w:val="00C33193"/>
    <w:rsid w:val="00C4737C"/>
    <w:rsid w:val="00C85417"/>
    <w:rsid w:val="00CA7176"/>
    <w:rsid w:val="00CB00A8"/>
    <w:rsid w:val="00CB663F"/>
    <w:rsid w:val="00CC6A18"/>
    <w:rsid w:val="00CD2773"/>
    <w:rsid w:val="00CD45C7"/>
    <w:rsid w:val="00CD4C32"/>
    <w:rsid w:val="00CE143B"/>
    <w:rsid w:val="00CE5CF1"/>
    <w:rsid w:val="00CF6677"/>
    <w:rsid w:val="00D030DE"/>
    <w:rsid w:val="00D03769"/>
    <w:rsid w:val="00D0599E"/>
    <w:rsid w:val="00D24E9C"/>
    <w:rsid w:val="00D268E9"/>
    <w:rsid w:val="00D40EC4"/>
    <w:rsid w:val="00D4523B"/>
    <w:rsid w:val="00D56579"/>
    <w:rsid w:val="00D56A7D"/>
    <w:rsid w:val="00D603C7"/>
    <w:rsid w:val="00D64531"/>
    <w:rsid w:val="00D900E6"/>
    <w:rsid w:val="00D964D3"/>
    <w:rsid w:val="00D9708D"/>
    <w:rsid w:val="00DA5871"/>
    <w:rsid w:val="00DC1B31"/>
    <w:rsid w:val="00DD63D3"/>
    <w:rsid w:val="00DF08D4"/>
    <w:rsid w:val="00E14843"/>
    <w:rsid w:val="00E167C7"/>
    <w:rsid w:val="00E213FA"/>
    <w:rsid w:val="00E219D4"/>
    <w:rsid w:val="00E34569"/>
    <w:rsid w:val="00E4508D"/>
    <w:rsid w:val="00E62488"/>
    <w:rsid w:val="00E81411"/>
    <w:rsid w:val="00E81C4F"/>
    <w:rsid w:val="00E834BF"/>
    <w:rsid w:val="00E97252"/>
    <w:rsid w:val="00EC47F6"/>
    <w:rsid w:val="00ED67BE"/>
    <w:rsid w:val="00ED6FF6"/>
    <w:rsid w:val="00EE1B43"/>
    <w:rsid w:val="00EE714D"/>
    <w:rsid w:val="00F153EF"/>
    <w:rsid w:val="00F55FB6"/>
    <w:rsid w:val="00F56AF5"/>
    <w:rsid w:val="00F66032"/>
    <w:rsid w:val="00F75D90"/>
    <w:rsid w:val="00F86416"/>
    <w:rsid w:val="00F958C2"/>
    <w:rsid w:val="00FA17B2"/>
    <w:rsid w:val="00FA6010"/>
    <w:rsid w:val="00FB7D00"/>
    <w:rsid w:val="00FD3669"/>
    <w:rsid w:val="727603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semiHidden/>
    <w:uiPriority w:val="99"/>
    <w:rPr>
      <w:rFonts w:ascii="Times New Roman" w:hAnsi="Times New Roman" w:cs="Times New Roman"/>
    </w:rPr>
  </w:style>
  <w:style w:type="paragraph" w:styleId="5">
    <w:name w:val="toc 2"/>
    <w:basedOn w:val="1"/>
    <w:next w:val="1"/>
    <w:semiHidden/>
    <w:uiPriority w:val="99"/>
    <w:pPr>
      <w:ind w:left="420" w:leftChars="200"/>
    </w:pPr>
    <w:rPr>
      <w:rFonts w:ascii="Times New Roman" w:hAnsi="Times New Roman" w:cs="Times New Roman"/>
    </w:rPr>
  </w:style>
  <w:style w:type="character" w:styleId="8">
    <w:name w:val="Hyperlink"/>
    <w:uiPriority w:val="99"/>
    <w:rPr>
      <w:color w:val="0000FF"/>
      <w:u w:val="single"/>
    </w:rPr>
  </w:style>
  <w:style w:type="character" w:customStyle="1" w:styleId="9">
    <w:name w:val="页眉 Char"/>
    <w:link w:val="3"/>
    <w:locked/>
    <w:uiPriority w:val="99"/>
    <w:rPr>
      <w:rFonts w:ascii="Times New Roman" w:hAnsi="Times New Roman" w:eastAsia="宋体" w:cs="Times New Roman"/>
      <w:sz w:val="18"/>
      <w:szCs w:val="18"/>
    </w:rPr>
  </w:style>
  <w:style w:type="character" w:customStyle="1" w:styleId="10">
    <w:name w:val="页脚 Char"/>
    <w:link w:val="2"/>
    <w:locked/>
    <w:uiPriority w:val="99"/>
    <w:rPr>
      <w:rFonts w:ascii="Times New Roman" w:hAnsi="Times New Roman" w:eastAsia="宋体" w:cs="Times New Roman"/>
      <w:sz w:val="18"/>
      <w:szCs w:val="18"/>
    </w:rPr>
  </w:style>
  <w:style w:type="paragraph" w:customStyle="1" w:styleId="11">
    <w:name w:val="正文1"/>
    <w:basedOn w:val="1"/>
    <w:uiPriority w:val="99"/>
    <w:pPr>
      <w:widowControl/>
    </w:pPr>
    <w:rPr>
      <w:kern w:val="0"/>
      <w:lang w:eastAsia="en-US"/>
    </w:rPr>
  </w:style>
  <w:style w:type="paragraph" w:customStyle="1" w:styleId="12">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3">
    <w:name w:val="Char Char1"/>
    <w:uiPriority w:val="99"/>
    <w:rPr>
      <w:kern w:val="2"/>
      <w:sz w:val="18"/>
      <w:szCs w:val="18"/>
    </w:rPr>
  </w:style>
  <w:style w:type="character" w:customStyle="1" w:styleId="14">
    <w:name w:val="Char Char"/>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2418</Words>
  <Characters>13786</Characters>
  <Lines>114</Lines>
  <Paragraphs>32</Paragraphs>
  <TotalTime>950</TotalTime>
  <ScaleCrop>false</ScaleCrop>
  <LinksUpToDate>false</LinksUpToDate>
  <CharactersWithSpaces>16172</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2017-06-24T08:43:00Z</cp:lastPrinted>
  <dcterms:modified xsi:type="dcterms:W3CDTF">2019-01-24T07:00:58Z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